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1CC" w:rsidRPr="00EB2729" w:rsidRDefault="00A341CC" w:rsidP="00C25665">
      <w:pPr>
        <w:tabs>
          <w:tab w:val="left" w:pos="6480"/>
          <w:tab w:val="left" w:pos="7200"/>
        </w:tabs>
        <w:jc w:val="center"/>
        <w:rPr>
          <w:color w:val="365F91"/>
        </w:rPr>
      </w:pPr>
      <w:r w:rsidRPr="00EB2729">
        <w:rPr>
          <w:color w:val="365F91"/>
        </w:rPr>
        <w:t xml:space="preserve">          </w:t>
      </w:r>
      <w:r w:rsidR="00EB2729">
        <w:rPr>
          <w:color w:val="365F91"/>
        </w:rPr>
        <w:t xml:space="preserve">                               </w:t>
      </w:r>
    </w:p>
    <w:p w:rsidR="003E156D" w:rsidRPr="00D150B2" w:rsidRDefault="00EB2729" w:rsidP="003E156D">
      <w:pPr>
        <w:tabs>
          <w:tab w:val="left" w:pos="6480"/>
          <w:tab w:val="left" w:pos="7200"/>
        </w:tabs>
        <w:jc w:val="both"/>
        <w:rPr>
          <w:rFonts w:asciiTheme="minorHAnsi" w:eastAsiaTheme="minorHAnsi" w:hAnsiTheme="minorHAnsi" w:cstheme="minorBidi"/>
          <w:sz w:val="22"/>
          <w:szCs w:val="22"/>
        </w:rPr>
      </w:pPr>
      <w:r>
        <w:rPr>
          <w:color w:val="365F91"/>
        </w:rPr>
        <w:t xml:space="preserve">                         </w:t>
      </w:r>
      <w:r w:rsidR="003E156D" w:rsidRPr="00D150B2">
        <w:rPr>
          <w:rFonts w:asciiTheme="minorHAnsi" w:eastAsiaTheme="minorHAnsi" w:hAnsiTheme="minorHAnsi" w:cstheme="minorBidi"/>
          <w:noProof/>
          <w:sz w:val="22"/>
          <w:szCs w:val="22"/>
        </w:rPr>
        <w:drawing>
          <wp:anchor distT="0" distB="0" distL="114300" distR="114300" simplePos="0" relativeHeight="251665920" behindDoc="0" locked="0" layoutInCell="1" allowOverlap="1" wp14:anchorId="5FE43495" wp14:editId="50C21FE7">
            <wp:simplePos x="0" y="0"/>
            <wp:positionH relativeFrom="column">
              <wp:posOffset>-76200</wp:posOffset>
            </wp:positionH>
            <wp:positionV relativeFrom="paragraph">
              <wp:posOffset>327660</wp:posOffset>
            </wp:positionV>
            <wp:extent cx="1444625" cy="1371600"/>
            <wp:effectExtent l="19050" t="0" r="3175" b="0"/>
            <wp:wrapNone/>
            <wp:docPr id="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srcRect/>
                    <a:stretch>
                      <a:fillRect/>
                    </a:stretch>
                  </pic:blipFill>
                  <pic:spPr bwMode="auto">
                    <a:xfrm>
                      <a:off x="0" y="0"/>
                      <a:ext cx="1444625" cy="1371600"/>
                    </a:xfrm>
                    <a:prstGeom prst="rect">
                      <a:avLst/>
                    </a:prstGeom>
                    <a:noFill/>
                  </pic:spPr>
                </pic:pic>
              </a:graphicData>
            </a:graphic>
          </wp:anchor>
        </w:drawing>
      </w:r>
    </w:p>
    <w:p w:rsidR="003E156D" w:rsidRPr="00D150B2" w:rsidRDefault="003E156D" w:rsidP="003E156D">
      <w:pPr>
        <w:spacing w:after="200" w:line="276" w:lineRule="auto"/>
        <w:jc w:val="right"/>
        <w:rPr>
          <w:rFonts w:asciiTheme="minorHAnsi" w:eastAsiaTheme="minorHAnsi" w:hAnsiTheme="minorHAnsi" w:cstheme="minorBidi"/>
          <w:sz w:val="22"/>
          <w:szCs w:val="22"/>
        </w:rPr>
      </w:pPr>
      <w:r w:rsidRPr="00D150B2">
        <w:rPr>
          <w:rFonts w:ascii="Myriad Pro" w:eastAsiaTheme="minorHAnsi" w:hAnsi="Myriad Pro" w:cstheme="minorBidi"/>
          <w:b/>
          <w:noProof/>
          <w:spacing w:val="-4"/>
          <w:sz w:val="22"/>
          <w:szCs w:val="22"/>
        </w:rPr>
        <w:drawing>
          <wp:inline distT="0" distB="0" distL="0" distR="0" wp14:anchorId="6729F317" wp14:editId="4F5F9A76">
            <wp:extent cx="781050" cy="1600200"/>
            <wp:effectExtent l="1905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781050" cy="1600200"/>
                    </a:xfrm>
                    <a:prstGeom prst="rect">
                      <a:avLst/>
                    </a:prstGeom>
                    <a:noFill/>
                    <a:ln w="9525">
                      <a:noFill/>
                      <a:miter lim="800000"/>
                      <a:headEnd/>
                      <a:tailEnd/>
                    </a:ln>
                  </pic:spPr>
                </pic:pic>
              </a:graphicData>
            </a:graphic>
          </wp:inline>
        </w:drawing>
      </w:r>
    </w:p>
    <w:p w:rsidR="00356753" w:rsidRPr="00EB2729" w:rsidRDefault="00356753" w:rsidP="002875B9">
      <w:pPr>
        <w:jc w:val="center"/>
      </w:pPr>
    </w:p>
    <w:p w:rsidR="00DA1C24" w:rsidRPr="00EB2729" w:rsidRDefault="00DA1C24" w:rsidP="002875B9">
      <w:pPr>
        <w:jc w:val="center"/>
        <w:rPr>
          <w:sz w:val="32"/>
          <w:szCs w:val="32"/>
        </w:rPr>
      </w:pPr>
    </w:p>
    <w:p w:rsidR="000B5AB7" w:rsidRPr="003878AA" w:rsidRDefault="000B5AB7" w:rsidP="002875B9">
      <w:pPr>
        <w:jc w:val="center"/>
        <w:rPr>
          <w:sz w:val="28"/>
          <w:szCs w:val="28"/>
        </w:rPr>
      </w:pPr>
      <w:r w:rsidRPr="003878AA">
        <w:rPr>
          <w:sz w:val="28"/>
          <w:szCs w:val="28"/>
        </w:rPr>
        <w:t>Office of the President and Cabinet</w:t>
      </w:r>
    </w:p>
    <w:p w:rsidR="00DA1C24" w:rsidRPr="003878AA" w:rsidRDefault="000B5AB7" w:rsidP="002875B9">
      <w:pPr>
        <w:jc w:val="center"/>
        <w:rPr>
          <w:sz w:val="28"/>
          <w:szCs w:val="28"/>
        </w:rPr>
      </w:pPr>
      <w:r w:rsidRPr="003878AA">
        <w:rPr>
          <w:sz w:val="28"/>
          <w:szCs w:val="28"/>
        </w:rPr>
        <w:t>Public Sector Reforms Management Unit</w:t>
      </w:r>
    </w:p>
    <w:p w:rsidR="00DA1C24" w:rsidRPr="003878AA" w:rsidRDefault="00DA1C24" w:rsidP="002875B9">
      <w:pPr>
        <w:jc w:val="center"/>
        <w:rPr>
          <w:sz w:val="28"/>
          <w:szCs w:val="28"/>
        </w:rPr>
      </w:pPr>
    </w:p>
    <w:p w:rsidR="00DA1C24" w:rsidRDefault="00DA1C24" w:rsidP="002875B9">
      <w:pPr>
        <w:jc w:val="center"/>
        <w:rPr>
          <w:sz w:val="28"/>
          <w:szCs w:val="28"/>
        </w:rPr>
      </w:pPr>
    </w:p>
    <w:p w:rsidR="003878AA" w:rsidRPr="003878AA" w:rsidRDefault="003878AA" w:rsidP="002875B9">
      <w:pPr>
        <w:jc w:val="center"/>
        <w:rPr>
          <w:sz w:val="28"/>
          <w:szCs w:val="28"/>
        </w:rPr>
      </w:pPr>
    </w:p>
    <w:p w:rsidR="00DA1C24" w:rsidRDefault="00DA1C24" w:rsidP="002875B9">
      <w:pPr>
        <w:jc w:val="center"/>
        <w:rPr>
          <w:sz w:val="28"/>
          <w:szCs w:val="28"/>
        </w:rPr>
      </w:pPr>
    </w:p>
    <w:p w:rsidR="003878AA" w:rsidRDefault="003878AA" w:rsidP="002875B9">
      <w:pPr>
        <w:jc w:val="center"/>
        <w:rPr>
          <w:sz w:val="28"/>
          <w:szCs w:val="28"/>
        </w:rPr>
      </w:pPr>
    </w:p>
    <w:p w:rsidR="003878AA" w:rsidRPr="003878AA" w:rsidRDefault="003878AA" w:rsidP="002875B9">
      <w:pPr>
        <w:jc w:val="center"/>
        <w:rPr>
          <w:sz w:val="28"/>
          <w:szCs w:val="28"/>
        </w:rPr>
      </w:pPr>
    </w:p>
    <w:p w:rsidR="000B5AB7" w:rsidRPr="003878AA" w:rsidRDefault="000B5AB7" w:rsidP="002875B9">
      <w:pPr>
        <w:jc w:val="center"/>
        <w:rPr>
          <w:sz w:val="28"/>
          <w:szCs w:val="28"/>
        </w:rPr>
      </w:pPr>
      <w:r w:rsidRPr="003878AA">
        <w:rPr>
          <w:sz w:val="28"/>
          <w:szCs w:val="28"/>
        </w:rPr>
        <w:t>Public Service Capacity Development Project</w:t>
      </w:r>
    </w:p>
    <w:p w:rsidR="00DA1C24" w:rsidRPr="003878AA" w:rsidRDefault="003F648C" w:rsidP="002875B9">
      <w:pPr>
        <w:jc w:val="center"/>
        <w:rPr>
          <w:sz w:val="28"/>
          <w:szCs w:val="28"/>
        </w:rPr>
      </w:pPr>
      <w:r w:rsidRPr="003878AA">
        <w:rPr>
          <w:sz w:val="28"/>
          <w:szCs w:val="28"/>
        </w:rPr>
        <w:t>(</w:t>
      </w:r>
      <w:r w:rsidR="00E23F21">
        <w:rPr>
          <w:sz w:val="28"/>
          <w:szCs w:val="28"/>
        </w:rPr>
        <w:t>Award</w:t>
      </w:r>
      <w:r w:rsidR="000B5AB7" w:rsidRPr="003878AA">
        <w:rPr>
          <w:sz w:val="28"/>
          <w:szCs w:val="28"/>
        </w:rPr>
        <w:t xml:space="preserve"> No. 000</w:t>
      </w:r>
      <w:r w:rsidR="00904489" w:rsidRPr="003878AA">
        <w:rPr>
          <w:sz w:val="28"/>
          <w:szCs w:val="28"/>
        </w:rPr>
        <w:t>69367</w:t>
      </w:r>
      <w:r w:rsidRPr="003878AA">
        <w:rPr>
          <w:sz w:val="28"/>
          <w:szCs w:val="28"/>
        </w:rPr>
        <w:t>)</w:t>
      </w:r>
      <w:r w:rsidR="00CE38C1" w:rsidRPr="003878AA">
        <w:rPr>
          <w:sz w:val="28"/>
          <w:szCs w:val="28"/>
        </w:rPr>
        <w:t xml:space="preserve"> </w:t>
      </w:r>
    </w:p>
    <w:p w:rsidR="00DA1C24" w:rsidRDefault="00DA1C24" w:rsidP="002875B9">
      <w:pPr>
        <w:jc w:val="center"/>
        <w:rPr>
          <w:sz w:val="28"/>
          <w:szCs w:val="28"/>
        </w:rPr>
      </w:pPr>
    </w:p>
    <w:p w:rsidR="003878AA" w:rsidRDefault="003878AA" w:rsidP="002875B9">
      <w:pPr>
        <w:jc w:val="center"/>
        <w:rPr>
          <w:sz w:val="28"/>
          <w:szCs w:val="28"/>
        </w:rPr>
      </w:pPr>
    </w:p>
    <w:p w:rsidR="003878AA" w:rsidRDefault="003878AA" w:rsidP="002875B9">
      <w:pPr>
        <w:jc w:val="center"/>
        <w:rPr>
          <w:sz w:val="28"/>
          <w:szCs w:val="28"/>
        </w:rPr>
      </w:pPr>
    </w:p>
    <w:p w:rsidR="003878AA" w:rsidRDefault="003878AA" w:rsidP="002875B9">
      <w:pPr>
        <w:jc w:val="center"/>
        <w:rPr>
          <w:sz w:val="28"/>
          <w:szCs w:val="28"/>
        </w:rPr>
      </w:pPr>
    </w:p>
    <w:p w:rsidR="003878AA" w:rsidRPr="003878AA" w:rsidRDefault="003878AA" w:rsidP="002875B9">
      <w:pPr>
        <w:jc w:val="center"/>
        <w:rPr>
          <w:sz w:val="28"/>
          <w:szCs w:val="28"/>
        </w:rPr>
      </w:pPr>
    </w:p>
    <w:p w:rsidR="00DA1C24" w:rsidRPr="003878AA" w:rsidRDefault="00DA1C24" w:rsidP="002875B9">
      <w:pPr>
        <w:jc w:val="center"/>
        <w:rPr>
          <w:sz w:val="28"/>
          <w:szCs w:val="28"/>
        </w:rPr>
      </w:pPr>
    </w:p>
    <w:p w:rsidR="00DA1C24" w:rsidRPr="003878AA" w:rsidRDefault="00DA1C24" w:rsidP="002875B9">
      <w:pPr>
        <w:jc w:val="center"/>
        <w:rPr>
          <w:sz w:val="28"/>
          <w:szCs w:val="28"/>
        </w:rPr>
      </w:pPr>
    </w:p>
    <w:p w:rsidR="00DA1C24" w:rsidRPr="003878AA" w:rsidRDefault="00904489" w:rsidP="002875B9">
      <w:pPr>
        <w:jc w:val="center"/>
        <w:rPr>
          <w:b/>
          <w:sz w:val="28"/>
          <w:szCs w:val="28"/>
        </w:rPr>
      </w:pPr>
      <w:r w:rsidRPr="003878AA">
        <w:rPr>
          <w:b/>
          <w:sz w:val="28"/>
          <w:szCs w:val="28"/>
        </w:rPr>
        <w:t xml:space="preserve">Annual </w:t>
      </w:r>
      <w:r w:rsidR="00DA1C24" w:rsidRPr="003878AA">
        <w:rPr>
          <w:b/>
          <w:sz w:val="28"/>
          <w:szCs w:val="28"/>
        </w:rPr>
        <w:t>Progress Report</w:t>
      </w:r>
    </w:p>
    <w:p w:rsidR="00DA1C24" w:rsidRPr="003878AA" w:rsidRDefault="00904489" w:rsidP="002875B9">
      <w:pPr>
        <w:jc w:val="center"/>
        <w:rPr>
          <w:sz w:val="28"/>
          <w:szCs w:val="28"/>
        </w:rPr>
      </w:pPr>
      <w:r w:rsidRPr="003878AA">
        <w:rPr>
          <w:sz w:val="28"/>
          <w:szCs w:val="28"/>
        </w:rPr>
        <w:t>January – December 2014</w:t>
      </w:r>
    </w:p>
    <w:p w:rsidR="00DA1C24" w:rsidRPr="003878AA" w:rsidRDefault="00DA1C24" w:rsidP="002875B9">
      <w:pPr>
        <w:jc w:val="center"/>
        <w:rPr>
          <w:sz w:val="28"/>
          <w:szCs w:val="28"/>
        </w:rPr>
      </w:pPr>
    </w:p>
    <w:p w:rsidR="00DA1C24" w:rsidRPr="00EB2729" w:rsidRDefault="00DA1C24" w:rsidP="002875B9">
      <w:pPr>
        <w:jc w:val="center"/>
      </w:pPr>
    </w:p>
    <w:p w:rsidR="00DA1C24" w:rsidRPr="00EB2729" w:rsidRDefault="00DA1C24" w:rsidP="002875B9">
      <w:pPr>
        <w:jc w:val="center"/>
      </w:pPr>
    </w:p>
    <w:p w:rsidR="00DA1C24" w:rsidRDefault="00DA1C24" w:rsidP="002875B9">
      <w:pPr>
        <w:jc w:val="center"/>
      </w:pPr>
    </w:p>
    <w:p w:rsidR="003878AA" w:rsidRPr="00EB2729" w:rsidRDefault="003878AA" w:rsidP="002875B9">
      <w:pPr>
        <w:jc w:val="center"/>
      </w:pPr>
    </w:p>
    <w:p w:rsidR="00DA1C24" w:rsidRPr="00EB2729" w:rsidRDefault="00DA1C24" w:rsidP="002875B9">
      <w:pPr>
        <w:jc w:val="center"/>
      </w:pPr>
    </w:p>
    <w:p w:rsidR="00356753" w:rsidRPr="00EB2729" w:rsidRDefault="00356753" w:rsidP="002875B9">
      <w:pPr>
        <w:jc w:val="center"/>
      </w:pPr>
    </w:p>
    <w:p w:rsidR="00DA1C24" w:rsidRPr="00EB2729" w:rsidRDefault="00DA1C24" w:rsidP="002875B9">
      <w:pPr>
        <w:jc w:val="center"/>
      </w:pPr>
    </w:p>
    <w:p w:rsidR="00DA1C24" w:rsidRPr="003878AA" w:rsidRDefault="00904489" w:rsidP="002875B9">
      <w:pPr>
        <w:jc w:val="center"/>
        <w:rPr>
          <w:sz w:val="28"/>
          <w:szCs w:val="28"/>
        </w:rPr>
      </w:pPr>
      <w:r w:rsidRPr="003878AA">
        <w:rPr>
          <w:sz w:val="28"/>
          <w:szCs w:val="28"/>
        </w:rPr>
        <w:t>January 26, 2015</w:t>
      </w:r>
    </w:p>
    <w:p w:rsidR="00A341CC" w:rsidRPr="00EB2729" w:rsidRDefault="00A341CC" w:rsidP="002875B9">
      <w:pPr>
        <w:pStyle w:val="ListParagraph"/>
        <w:spacing w:after="0" w:line="240" w:lineRule="auto"/>
        <w:ind w:left="360" w:hanging="360"/>
        <w:rPr>
          <w:rFonts w:ascii="Times New Roman" w:hAnsi="Times New Roman"/>
          <w:b/>
          <w:sz w:val="24"/>
          <w:szCs w:val="24"/>
        </w:rPr>
      </w:pPr>
    </w:p>
    <w:p w:rsidR="00DA1C24" w:rsidRPr="004E45FB" w:rsidRDefault="00DA1C24" w:rsidP="002875B9">
      <w:pPr>
        <w:pStyle w:val="ListParagraph"/>
        <w:spacing w:after="0" w:line="240" w:lineRule="auto"/>
        <w:ind w:left="360" w:hanging="360"/>
        <w:rPr>
          <w:rFonts w:ascii="Times New Roman" w:hAnsi="Times New Roman"/>
          <w:sz w:val="24"/>
          <w:szCs w:val="24"/>
        </w:rPr>
      </w:pPr>
      <w:r w:rsidRPr="004E45FB">
        <w:rPr>
          <w:rFonts w:ascii="Times New Roman" w:hAnsi="Times New Roman"/>
          <w:b/>
          <w:sz w:val="24"/>
          <w:szCs w:val="24"/>
        </w:rPr>
        <w:lastRenderedPageBreak/>
        <w:t>Contents</w:t>
      </w:r>
    </w:p>
    <w:p w:rsidR="00025D15" w:rsidRPr="004E45FB" w:rsidRDefault="00025D15" w:rsidP="00025D15">
      <w:pPr>
        <w:spacing w:line="276" w:lineRule="auto"/>
        <w:rPr>
          <w:rFonts w:eastAsiaTheme="minorHAnsi"/>
        </w:rPr>
      </w:pPr>
    </w:p>
    <w:p w:rsidR="00025D15" w:rsidRPr="004E45FB" w:rsidRDefault="00025D15" w:rsidP="00025D15">
      <w:pPr>
        <w:spacing w:line="276" w:lineRule="auto"/>
        <w:rPr>
          <w:rFonts w:eastAsiaTheme="minorHAnsi"/>
        </w:rPr>
      </w:pPr>
      <w:r w:rsidRPr="004E45FB">
        <w:rPr>
          <w:rFonts w:eastAsiaTheme="minorHAnsi"/>
        </w:rPr>
        <w:t>Acronyms</w:t>
      </w:r>
      <w:r w:rsidRPr="004E45FB">
        <w:rPr>
          <w:rFonts w:eastAsiaTheme="minorHAnsi"/>
        </w:rPr>
        <w:tab/>
        <w:t>…………………………………………………………….…</w:t>
      </w:r>
      <w:r w:rsidRPr="004E45FB">
        <w:rPr>
          <w:rFonts w:eastAsiaTheme="minorHAnsi"/>
        </w:rPr>
        <w:tab/>
        <w:t>3</w:t>
      </w:r>
    </w:p>
    <w:p w:rsidR="00025D15" w:rsidRPr="004E45FB" w:rsidRDefault="00025D15" w:rsidP="00025D15">
      <w:pPr>
        <w:spacing w:line="276" w:lineRule="auto"/>
        <w:rPr>
          <w:rFonts w:eastAsiaTheme="minorHAnsi"/>
        </w:rPr>
      </w:pPr>
      <w:r w:rsidRPr="004E45FB">
        <w:rPr>
          <w:rFonts w:eastAsiaTheme="minorHAnsi"/>
        </w:rPr>
        <w:t>Executive Summary</w:t>
      </w:r>
      <w:r w:rsidRPr="004E45FB">
        <w:rPr>
          <w:rFonts w:eastAsiaTheme="minorHAnsi"/>
        </w:rPr>
        <w:tab/>
        <w:t>…………………………………….………………....</w:t>
      </w:r>
      <w:r w:rsidRPr="004E45FB">
        <w:rPr>
          <w:rFonts w:eastAsiaTheme="minorHAnsi"/>
        </w:rPr>
        <w:tab/>
        <w:t>4</w:t>
      </w:r>
    </w:p>
    <w:p w:rsidR="00025D15" w:rsidRPr="004E45FB" w:rsidRDefault="00025D15" w:rsidP="00025D15">
      <w:pPr>
        <w:pStyle w:val="ListParagraph"/>
        <w:numPr>
          <w:ilvl w:val="0"/>
          <w:numId w:val="24"/>
        </w:numPr>
        <w:spacing w:after="0"/>
        <w:ind w:left="540" w:hanging="540"/>
        <w:rPr>
          <w:rFonts w:ascii="Times New Roman" w:eastAsiaTheme="minorHAnsi" w:hAnsi="Times New Roman"/>
          <w:sz w:val="24"/>
          <w:szCs w:val="24"/>
        </w:rPr>
      </w:pPr>
      <w:r w:rsidRPr="004E45FB">
        <w:rPr>
          <w:rFonts w:ascii="Times New Roman" w:eastAsiaTheme="minorHAnsi" w:hAnsi="Times New Roman"/>
          <w:sz w:val="24"/>
          <w:szCs w:val="24"/>
        </w:rPr>
        <w:t>Situational Back</w:t>
      </w:r>
      <w:r w:rsidR="003E156D">
        <w:rPr>
          <w:rFonts w:ascii="Times New Roman" w:eastAsiaTheme="minorHAnsi" w:hAnsi="Times New Roman"/>
          <w:sz w:val="24"/>
          <w:szCs w:val="24"/>
        </w:rPr>
        <w:t>ground/Context……………………..………………</w:t>
      </w:r>
      <w:r w:rsidR="007B0875">
        <w:rPr>
          <w:rFonts w:ascii="Times New Roman" w:eastAsiaTheme="minorHAnsi" w:hAnsi="Times New Roman"/>
          <w:sz w:val="24"/>
          <w:szCs w:val="24"/>
        </w:rPr>
        <w:t>…</w:t>
      </w:r>
      <w:r w:rsidR="007B0875">
        <w:rPr>
          <w:rFonts w:ascii="Times New Roman" w:eastAsiaTheme="minorHAnsi" w:hAnsi="Times New Roman"/>
          <w:sz w:val="24"/>
          <w:szCs w:val="24"/>
        </w:rPr>
        <w:tab/>
        <w:t>5</w:t>
      </w:r>
    </w:p>
    <w:p w:rsidR="00025D15" w:rsidRPr="004E45FB" w:rsidRDefault="00025D15" w:rsidP="00025D15">
      <w:pPr>
        <w:pStyle w:val="ListParagraph"/>
        <w:numPr>
          <w:ilvl w:val="0"/>
          <w:numId w:val="24"/>
        </w:numPr>
        <w:spacing w:after="0"/>
        <w:ind w:left="540" w:hanging="540"/>
        <w:rPr>
          <w:rFonts w:ascii="Times New Roman" w:eastAsiaTheme="minorHAnsi" w:hAnsi="Times New Roman"/>
          <w:sz w:val="24"/>
          <w:szCs w:val="24"/>
        </w:rPr>
      </w:pPr>
      <w:r w:rsidRPr="004E45FB">
        <w:rPr>
          <w:rFonts w:ascii="Times New Roman" w:eastAsiaTheme="minorHAnsi" w:hAnsi="Times New Roman"/>
          <w:sz w:val="24"/>
          <w:szCs w:val="24"/>
        </w:rPr>
        <w:t>Assessment of Project Results During the Reporting Period………….</w:t>
      </w:r>
      <w:r w:rsidRPr="004E45FB">
        <w:rPr>
          <w:rFonts w:ascii="Times New Roman" w:eastAsiaTheme="minorHAnsi" w:hAnsi="Times New Roman"/>
          <w:sz w:val="24"/>
          <w:szCs w:val="24"/>
        </w:rPr>
        <w:tab/>
        <w:t>6</w:t>
      </w:r>
    </w:p>
    <w:p w:rsidR="00025D15" w:rsidRPr="004E45FB" w:rsidRDefault="00025D15" w:rsidP="00025D15">
      <w:pPr>
        <w:ind w:left="360"/>
        <w:rPr>
          <w:rFonts w:eastAsiaTheme="minorHAnsi"/>
        </w:rPr>
      </w:pPr>
      <w:r w:rsidRPr="004E45FB">
        <w:rPr>
          <w:rFonts w:eastAsiaTheme="minorHAnsi"/>
        </w:rPr>
        <w:t>B.1   Progress to Achieving Outputs</w:t>
      </w:r>
      <w:r w:rsidRPr="004E45FB">
        <w:rPr>
          <w:rFonts w:eastAsiaTheme="minorHAnsi"/>
        </w:rPr>
        <w:tab/>
        <w:t>…………………………………</w:t>
      </w:r>
      <w:r w:rsidRPr="004E45FB">
        <w:rPr>
          <w:rFonts w:eastAsiaTheme="minorHAnsi"/>
        </w:rPr>
        <w:tab/>
        <w:t>6</w:t>
      </w:r>
    </w:p>
    <w:p w:rsidR="00025D15" w:rsidRPr="004E45FB" w:rsidRDefault="00025D15" w:rsidP="00025D15">
      <w:pPr>
        <w:pStyle w:val="ListParagraph"/>
        <w:numPr>
          <w:ilvl w:val="0"/>
          <w:numId w:val="25"/>
        </w:numPr>
        <w:jc w:val="both"/>
        <w:rPr>
          <w:rFonts w:ascii="Times New Roman" w:hAnsi="Times New Roman"/>
          <w:color w:val="000000"/>
          <w:sz w:val="24"/>
          <w:szCs w:val="24"/>
          <w:shd w:val="clear" w:color="auto" w:fill="FFFFFF"/>
        </w:rPr>
      </w:pPr>
      <w:r w:rsidRPr="004E45FB">
        <w:rPr>
          <w:rFonts w:ascii="Times New Roman" w:hAnsi="Times New Roman"/>
          <w:color w:val="000000"/>
          <w:sz w:val="24"/>
          <w:szCs w:val="24"/>
          <w:shd w:val="clear" w:color="auto" w:fill="FFFFFF"/>
        </w:rPr>
        <w:t>Out</w:t>
      </w:r>
      <w:r w:rsidR="007B0875">
        <w:rPr>
          <w:rFonts w:ascii="Times New Roman" w:hAnsi="Times New Roman"/>
          <w:color w:val="000000"/>
          <w:sz w:val="24"/>
          <w:szCs w:val="24"/>
          <w:shd w:val="clear" w:color="auto" w:fill="FFFFFF"/>
        </w:rPr>
        <w:t xml:space="preserve">put 1: </w:t>
      </w:r>
      <w:r w:rsidR="007B0875">
        <w:rPr>
          <w:rFonts w:ascii="Times New Roman" w:hAnsi="Times New Roman"/>
          <w:color w:val="000000"/>
          <w:sz w:val="24"/>
          <w:szCs w:val="24"/>
          <w:shd w:val="clear" w:color="auto" w:fill="FFFFFF"/>
        </w:rPr>
        <w:tab/>
        <w:t>……………………………………………….………</w:t>
      </w:r>
      <w:r w:rsidR="007B0875">
        <w:rPr>
          <w:rFonts w:ascii="Times New Roman" w:hAnsi="Times New Roman"/>
          <w:color w:val="000000"/>
          <w:sz w:val="24"/>
          <w:szCs w:val="24"/>
          <w:shd w:val="clear" w:color="auto" w:fill="FFFFFF"/>
        </w:rPr>
        <w:tab/>
        <w:t>7</w:t>
      </w:r>
    </w:p>
    <w:p w:rsidR="00025D15" w:rsidRPr="004E45FB" w:rsidRDefault="00025D15" w:rsidP="00025D15">
      <w:pPr>
        <w:pStyle w:val="ListParagraph"/>
        <w:numPr>
          <w:ilvl w:val="0"/>
          <w:numId w:val="25"/>
        </w:numPr>
        <w:jc w:val="both"/>
        <w:rPr>
          <w:rFonts w:ascii="Times New Roman" w:hAnsi="Times New Roman"/>
          <w:sz w:val="24"/>
          <w:szCs w:val="24"/>
          <w:lang w:val="en-GB"/>
        </w:rPr>
      </w:pPr>
      <w:r w:rsidRPr="004E45FB">
        <w:rPr>
          <w:rFonts w:ascii="Times New Roman" w:hAnsi="Times New Roman"/>
          <w:color w:val="000000"/>
          <w:sz w:val="24"/>
          <w:szCs w:val="24"/>
        </w:rPr>
        <w:t>Output 2:</w:t>
      </w:r>
      <w:r w:rsidRPr="004E45FB">
        <w:rPr>
          <w:rFonts w:ascii="Times New Roman" w:hAnsi="Times New Roman"/>
          <w:color w:val="000000"/>
          <w:sz w:val="24"/>
          <w:szCs w:val="24"/>
        </w:rPr>
        <w:tab/>
        <w:t>……………………………………………………….</w:t>
      </w:r>
      <w:r w:rsidRPr="004E45FB">
        <w:rPr>
          <w:rFonts w:ascii="Times New Roman" w:hAnsi="Times New Roman"/>
          <w:color w:val="000000"/>
          <w:sz w:val="24"/>
          <w:szCs w:val="24"/>
        </w:rPr>
        <w:tab/>
      </w:r>
      <w:r w:rsidR="007B0875">
        <w:rPr>
          <w:rFonts w:ascii="Times New Roman" w:hAnsi="Times New Roman"/>
          <w:color w:val="000000"/>
          <w:sz w:val="24"/>
          <w:szCs w:val="24"/>
        </w:rPr>
        <w:t>8</w:t>
      </w:r>
    </w:p>
    <w:p w:rsidR="00025D15" w:rsidRPr="004E45FB" w:rsidRDefault="00025D15" w:rsidP="00025D15">
      <w:pPr>
        <w:pStyle w:val="ListParagraph"/>
        <w:numPr>
          <w:ilvl w:val="0"/>
          <w:numId w:val="25"/>
        </w:numPr>
        <w:jc w:val="both"/>
        <w:rPr>
          <w:rFonts w:ascii="Times New Roman" w:hAnsi="Times New Roman"/>
          <w:sz w:val="24"/>
          <w:szCs w:val="24"/>
          <w:lang w:val="en-GB"/>
        </w:rPr>
      </w:pPr>
      <w:r w:rsidRPr="004E45FB">
        <w:rPr>
          <w:rFonts w:ascii="Times New Roman" w:hAnsi="Times New Roman"/>
          <w:color w:val="000000"/>
          <w:sz w:val="24"/>
          <w:szCs w:val="24"/>
        </w:rPr>
        <w:t>Output 3:  …………………………………………………………</w:t>
      </w:r>
      <w:r w:rsidRPr="004E45FB">
        <w:rPr>
          <w:rFonts w:ascii="Times New Roman" w:hAnsi="Times New Roman"/>
          <w:color w:val="000000"/>
          <w:sz w:val="24"/>
          <w:szCs w:val="24"/>
        </w:rPr>
        <w:tab/>
        <w:t>1</w:t>
      </w:r>
      <w:r w:rsidR="007B0875">
        <w:rPr>
          <w:rFonts w:ascii="Times New Roman" w:hAnsi="Times New Roman"/>
          <w:color w:val="000000"/>
          <w:sz w:val="24"/>
          <w:szCs w:val="24"/>
        </w:rPr>
        <w:t>1</w:t>
      </w:r>
    </w:p>
    <w:p w:rsidR="00025D15" w:rsidRPr="004E45FB" w:rsidRDefault="00025D15" w:rsidP="00025D15">
      <w:pPr>
        <w:pStyle w:val="ListParagraph"/>
        <w:numPr>
          <w:ilvl w:val="0"/>
          <w:numId w:val="25"/>
        </w:numPr>
        <w:jc w:val="both"/>
        <w:rPr>
          <w:rFonts w:ascii="Times New Roman" w:hAnsi="Times New Roman"/>
          <w:sz w:val="24"/>
          <w:szCs w:val="24"/>
          <w:lang w:val="en-GB"/>
        </w:rPr>
      </w:pPr>
      <w:r w:rsidRPr="004E45FB">
        <w:rPr>
          <w:rFonts w:ascii="Times New Roman" w:hAnsi="Times New Roman"/>
          <w:color w:val="000000"/>
          <w:sz w:val="24"/>
          <w:szCs w:val="24"/>
        </w:rPr>
        <w:t>Output 4:  …………………………………………………………</w:t>
      </w:r>
      <w:r w:rsidRPr="004E45FB">
        <w:rPr>
          <w:rFonts w:ascii="Times New Roman" w:hAnsi="Times New Roman"/>
          <w:color w:val="000000"/>
          <w:sz w:val="24"/>
          <w:szCs w:val="24"/>
        </w:rPr>
        <w:tab/>
        <w:t>1</w:t>
      </w:r>
      <w:r w:rsidR="007B0875">
        <w:rPr>
          <w:rFonts w:ascii="Times New Roman" w:hAnsi="Times New Roman"/>
          <w:color w:val="000000"/>
          <w:sz w:val="24"/>
          <w:szCs w:val="24"/>
        </w:rPr>
        <w:t>1</w:t>
      </w:r>
    </w:p>
    <w:p w:rsidR="00025D15" w:rsidRPr="004E45FB" w:rsidRDefault="00025D15" w:rsidP="00025D15">
      <w:pPr>
        <w:ind w:left="360"/>
        <w:rPr>
          <w:rFonts w:eastAsiaTheme="minorHAnsi"/>
        </w:rPr>
      </w:pPr>
      <w:r w:rsidRPr="004E45FB">
        <w:rPr>
          <w:rFonts w:eastAsiaTheme="minorHAnsi"/>
        </w:rPr>
        <w:t xml:space="preserve">B.2   Progress towards Achieving Outcome and Expected </w:t>
      </w:r>
      <w:r w:rsidR="007B0875">
        <w:rPr>
          <w:rFonts w:eastAsiaTheme="minorHAnsi"/>
        </w:rPr>
        <w:t>Impact …….</w:t>
      </w:r>
      <w:r w:rsidR="007B0875">
        <w:rPr>
          <w:rFonts w:eastAsiaTheme="minorHAnsi"/>
        </w:rPr>
        <w:tab/>
        <w:t>12</w:t>
      </w:r>
    </w:p>
    <w:p w:rsidR="00025D15" w:rsidRPr="004E45FB" w:rsidRDefault="00025D15" w:rsidP="00025D15">
      <w:pPr>
        <w:ind w:firstLine="360"/>
        <w:rPr>
          <w:rFonts w:eastAsiaTheme="minorHAnsi"/>
        </w:rPr>
      </w:pPr>
      <w:r w:rsidRPr="004E45FB">
        <w:rPr>
          <w:rFonts w:eastAsiaTheme="minorHAnsi"/>
        </w:rPr>
        <w:t>B.3   Gender M</w:t>
      </w:r>
      <w:r w:rsidR="007B0875">
        <w:rPr>
          <w:rFonts w:eastAsiaTheme="minorHAnsi"/>
        </w:rPr>
        <w:t>ainstreaming</w:t>
      </w:r>
      <w:r w:rsidR="007B0875">
        <w:rPr>
          <w:rFonts w:eastAsiaTheme="minorHAnsi"/>
        </w:rPr>
        <w:tab/>
        <w:t>………………………………….……</w:t>
      </w:r>
      <w:r w:rsidR="007B0875">
        <w:rPr>
          <w:rFonts w:eastAsiaTheme="minorHAnsi"/>
        </w:rPr>
        <w:tab/>
        <w:t>12</w:t>
      </w:r>
    </w:p>
    <w:p w:rsidR="00025D15" w:rsidRPr="004E45FB" w:rsidRDefault="00025D15" w:rsidP="00025D15">
      <w:pPr>
        <w:ind w:firstLine="360"/>
        <w:rPr>
          <w:rFonts w:eastAsiaTheme="minorHAnsi"/>
        </w:rPr>
      </w:pPr>
      <w:r w:rsidRPr="004E45FB">
        <w:rPr>
          <w:rFonts w:eastAsiaTheme="minorHAnsi"/>
        </w:rPr>
        <w:t>B.4   Status of Key Partnerships and Inter-Agency Departmental</w:t>
      </w:r>
    </w:p>
    <w:p w:rsidR="00025D15" w:rsidRPr="004E45FB" w:rsidRDefault="00025D15" w:rsidP="00025D15">
      <w:pPr>
        <w:ind w:firstLine="360"/>
        <w:rPr>
          <w:rFonts w:eastAsiaTheme="minorHAnsi"/>
        </w:rPr>
      </w:pPr>
      <w:r w:rsidRPr="004E45FB">
        <w:rPr>
          <w:rFonts w:eastAsiaTheme="minorHAnsi"/>
        </w:rPr>
        <w:tab/>
        <w:t xml:space="preserve">   Collaboration in the Areas of the Outcome</w:t>
      </w:r>
      <w:r w:rsidRPr="004E45FB">
        <w:rPr>
          <w:rFonts w:eastAsiaTheme="minorHAnsi"/>
        </w:rPr>
        <w:tab/>
        <w:t>………………</w:t>
      </w:r>
      <w:r w:rsidR="003319A1">
        <w:rPr>
          <w:rFonts w:eastAsiaTheme="minorHAnsi"/>
        </w:rPr>
        <w:t>……</w:t>
      </w:r>
      <w:r w:rsidR="007B0875">
        <w:rPr>
          <w:rFonts w:eastAsiaTheme="minorHAnsi"/>
        </w:rPr>
        <w:t>…...</w:t>
      </w:r>
      <w:r w:rsidR="007B0875">
        <w:rPr>
          <w:rFonts w:eastAsiaTheme="minorHAnsi"/>
        </w:rPr>
        <w:tab/>
        <w:t>12</w:t>
      </w:r>
    </w:p>
    <w:p w:rsidR="00025D15" w:rsidRPr="004E45FB" w:rsidRDefault="00025D15" w:rsidP="00025D15">
      <w:pPr>
        <w:ind w:firstLine="360"/>
        <w:rPr>
          <w:rFonts w:eastAsiaTheme="minorHAnsi"/>
        </w:rPr>
      </w:pPr>
    </w:p>
    <w:p w:rsidR="00025D15" w:rsidRPr="004E45FB" w:rsidRDefault="00025D15" w:rsidP="00025D15">
      <w:pPr>
        <w:numPr>
          <w:ilvl w:val="0"/>
          <w:numId w:val="24"/>
        </w:numPr>
        <w:spacing w:line="276" w:lineRule="auto"/>
        <w:ind w:left="630" w:hanging="630"/>
        <w:contextualSpacing/>
        <w:rPr>
          <w:rFonts w:eastAsiaTheme="minorHAnsi"/>
        </w:rPr>
      </w:pPr>
      <w:r w:rsidRPr="004E45FB">
        <w:rPr>
          <w:rFonts w:eastAsiaTheme="minorHAnsi"/>
        </w:rPr>
        <w:t>Financial Status and Utilization</w:t>
      </w:r>
      <w:r w:rsidRPr="004E45FB">
        <w:rPr>
          <w:rFonts w:eastAsiaTheme="minorHAnsi"/>
        </w:rPr>
        <w:tab/>
        <w:t>………………………</w:t>
      </w:r>
      <w:r w:rsidR="003C07E8" w:rsidRPr="004E45FB">
        <w:rPr>
          <w:rFonts w:eastAsiaTheme="minorHAnsi"/>
        </w:rPr>
        <w:t>…</w:t>
      </w:r>
      <w:r w:rsidR="007B0875">
        <w:rPr>
          <w:rFonts w:eastAsiaTheme="minorHAnsi"/>
        </w:rPr>
        <w:t>………</w:t>
      </w:r>
      <w:r w:rsidR="007B0875">
        <w:rPr>
          <w:rFonts w:eastAsiaTheme="minorHAnsi"/>
        </w:rPr>
        <w:tab/>
        <w:t>13</w:t>
      </w:r>
    </w:p>
    <w:p w:rsidR="00025D15" w:rsidRDefault="00025D15" w:rsidP="00025D15">
      <w:pPr>
        <w:numPr>
          <w:ilvl w:val="0"/>
          <w:numId w:val="24"/>
        </w:numPr>
        <w:tabs>
          <w:tab w:val="left" w:pos="630"/>
        </w:tabs>
        <w:spacing w:line="276" w:lineRule="auto"/>
        <w:ind w:hanging="1080"/>
        <w:contextualSpacing/>
        <w:rPr>
          <w:rFonts w:eastAsiaTheme="minorHAnsi"/>
        </w:rPr>
      </w:pPr>
      <w:r w:rsidRPr="004E45FB">
        <w:rPr>
          <w:rFonts w:eastAsiaTheme="minorHAnsi"/>
        </w:rPr>
        <w:t>Lessons Learned</w:t>
      </w:r>
      <w:r w:rsidRPr="004E45FB">
        <w:rPr>
          <w:rFonts w:eastAsiaTheme="minorHAnsi"/>
        </w:rPr>
        <w:tab/>
        <w:t>………</w:t>
      </w:r>
      <w:r w:rsidR="007B0875">
        <w:rPr>
          <w:rFonts w:eastAsiaTheme="minorHAnsi"/>
        </w:rPr>
        <w:t>………………………………………….</w:t>
      </w:r>
      <w:r w:rsidR="007B0875">
        <w:rPr>
          <w:rFonts w:eastAsiaTheme="minorHAnsi"/>
        </w:rPr>
        <w:tab/>
        <w:t>13</w:t>
      </w:r>
    </w:p>
    <w:p w:rsidR="007B0875" w:rsidRPr="004E45FB" w:rsidRDefault="007B0875" w:rsidP="00025D15">
      <w:pPr>
        <w:numPr>
          <w:ilvl w:val="0"/>
          <w:numId w:val="24"/>
        </w:numPr>
        <w:tabs>
          <w:tab w:val="left" w:pos="630"/>
        </w:tabs>
        <w:spacing w:line="276" w:lineRule="auto"/>
        <w:ind w:hanging="1080"/>
        <w:contextualSpacing/>
        <w:rPr>
          <w:rFonts w:eastAsiaTheme="minorHAnsi"/>
        </w:rPr>
      </w:pPr>
      <w:r>
        <w:rPr>
          <w:rFonts w:eastAsiaTheme="minorHAnsi"/>
        </w:rPr>
        <w:t>Conclusion</w:t>
      </w:r>
      <w:r>
        <w:rPr>
          <w:rFonts w:eastAsiaTheme="minorHAnsi"/>
        </w:rPr>
        <w:tab/>
      </w:r>
      <w:r>
        <w:rPr>
          <w:rFonts w:eastAsiaTheme="minorHAnsi"/>
        </w:rPr>
        <w:tab/>
        <w:t>………………………………………………….</w:t>
      </w:r>
      <w:r>
        <w:rPr>
          <w:rFonts w:eastAsiaTheme="minorHAnsi"/>
        </w:rPr>
        <w:tab/>
        <w:t>13</w:t>
      </w:r>
    </w:p>
    <w:p w:rsidR="00025D15" w:rsidRPr="004E45FB" w:rsidRDefault="007B0875" w:rsidP="00025D15">
      <w:pPr>
        <w:numPr>
          <w:ilvl w:val="0"/>
          <w:numId w:val="24"/>
        </w:numPr>
        <w:spacing w:line="276" w:lineRule="auto"/>
        <w:ind w:left="630" w:hanging="630"/>
        <w:contextualSpacing/>
        <w:rPr>
          <w:rFonts w:eastAsiaTheme="minorHAnsi"/>
        </w:rPr>
      </w:pPr>
      <w:r>
        <w:rPr>
          <w:rFonts w:eastAsiaTheme="minorHAnsi"/>
        </w:rPr>
        <w:t>Future Work Plan</w:t>
      </w:r>
      <w:r w:rsidR="00025D15" w:rsidRPr="004E45FB">
        <w:rPr>
          <w:rFonts w:eastAsiaTheme="minorHAnsi"/>
        </w:rPr>
        <w:tab/>
        <w:t>………………………</w:t>
      </w:r>
      <w:r w:rsidR="003C07E8" w:rsidRPr="004E45FB">
        <w:rPr>
          <w:rFonts w:eastAsiaTheme="minorHAnsi"/>
        </w:rPr>
        <w:t>.</w:t>
      </w:r>
      <w:r>
        <w:rPr>
          <w:rFonts w:eastAsiaTheme="minorHAnsi"/>
        </w:rPr>
        <w:t>.……………………….</w:t>
      </w:r>
      <w:r>
        <w:rPr>
          <w:rFonts w:eastAsiaTheme="minorHAnsi"/>
        </w:rPr>
        <w:tab/>
        <w:t>13</w:t>
      </w:r>
    </w:p>
    <w:p w:rsidR="00025D15" w:rsidRPr="004E45FB" w:rsidRDefault="00025D15" w:rsidP="00025D15">
      <w:pPr>
        <w:spacing w:line="276" w:lineRule="auto"/>
        <w:rPr>
          <w:rFonts w:eastAsiaTheme="minorHAnsi"/>
        </w:rPr>
      </w:pPr>
    </w:p>
    <w:p w:rsidR="00025D15" w:rsidRPr="004E45FB" w:rsidRDefault="007B0875" w:rsidP="00025D15">
      <w:pPr>
        <w:spacing w:line="276" w:lineRule="auto"/>
        <w:rPr>
          <w:rFonts w:eastAsiaTheme="minorHAnsi"/>
          <w:b/>
        </w:rPr>
      </w:pPr>
      <w:r>
        <w:rPr>
          <w:rFonts w:eastAsiaTheme="minorHAnsi"/>
          <w:b/>
        </w:rPr>
        <w:t>F</w:t>
      </w:r>
      <w:r w:rsidR="00025D15" w:rsidRPr="004E45FB">
        <w:rPr>
          <w:rFonts w:eastAsiaTheme="minorHAnsi"/>
          <w:b/>
        </w:rPr>
        <w:t>igures &amp; Annexes</w:t>
      </w:r>
    </w:p>
    <w:p w:rsidR="00025D15" w:rsidRPr="004E45FB" w:rsidRDefault="00025D15" w:rsidP="00025D15">
      <w:pPr>
        <w:spacing w:line="276" w:lineRule="auto"/>
        <w:rPr>
          <w:rFonts w:eastAsiaTheme="minorHAnsi"/>
        </w:rPr>
      </w:pPr>
    </w:p>
    <w:p w:rsidR="00025D15" w:rsidRPr="004E45FB" w:rsidRDefault="007B0875" w:rsidP="00025D15">
      <w:pPr>
        <w:spacing w:line="276" w:lineRule="auto"/>
        <w:rPr>
          <w:rFonts w:eastAsiaTheme="minorHAnsi"/>
        </w:rPr>
      </w:pPr>
      <w:r>
        <w:rPr>
          <w:rFonts w:eastAsiaTheme="minorHAnsi"/>
        </w:rPr>
        <w:t>Figure</w:t>
      </w:r>
      <w:r w:rsidR="00025D15" w:rsidRPr="004E45FB">
        <w:rPr>
          <w:rFonts w:eastAsiaTheme="minorHAnsi"/>
        </w:rPr>
        <w:t xml:space="preserve"> 1:</w:t>
      </w:r>
      <w:r w:rsidR="00025D15" w:rsidRPr="004E45FB">
        <w:rPr>
          <w:rFonts w:eastAsiaTheme="minorHAnsi"/>
        </w:rPr>
        <w:tab/>
      </w:r>
      <w:r>
        <w:rPr>
          <w:rFonts w:eastAsiaTheme="minorHAnsi"/>
        </w:rPr>
        <w:t>Participants to High Level Consultations</w:t>
      </w:r>
      <w:r w:rsidR="00402054">
        <w:rPr>
          <w:rFonts w:eastAsiaTheme="minorHAnsi"/>
        </w:rPr>
        <w:tab/>
        <w:t>…………………..</w:t>
      </w:r>
      <w:r w:rsidR="00402054">
        <w:rPr>
          <w:rFonts w:eastAsiaTheme="minorHAnsi"/>
        </w:rPr>
        <w:tab/>
        <w:t>9</w:t>
      </w:r>
    </w:p>
    <w:p w:rsidR="00025D15" w:rsidRPr="004E45FB" w:rsidRDefault="007B0875" w:rsidP="00025D15">
      <w:pPr>
        <w:spacing w:line="276" w:lineRule="auto"/>
        <w:rPr>
          <w:rFonts w:eastAsiaTheme="minorHAnsi"/>
        </w:rPr>
      </w:pPr>
      <w:r>
        <w:rPr>
          <w:rFonts w:eastAsiaTheme="minorHAnsi"/>
        </w:rPr>
        <w:t xml:space="preserve">Figure </w:t>
      </w:r>
      <w:r w:rsidR="00025D15" w:rsidRPr="004E45FB">
        <w:rPr>
          <w:rFonts w:eastAsiaTheme="minorHAnsi"/>
        </w:rPr>
        <w:t xml:space="preserve">2: </w:t>
      </w:r>
      <w:r w:rsidR="00025D15" w:rsidRPr="004E45FB">
        <w:rPr>
          <w:rFonts w:eastAsiaTheme="minorHAnsi"/>
        </w:rPr>
        <w:tab/>
      </w:r>
      <w:r>
        <w:rPr>
          <w:rFonts w:eastAsiaTheme="minorHAnsi"/>
        </w:rPr>
        <w:t>Responses on Statements on Ethics, Integrity &amp; Professionalism</w:t>
      </w:r>
      <w:r w:rsidR="003319A1">
        <w:rPr>
          <w:rFonts w:eastAsiaTheme="minorHAnsi"/>
        </w:rPr>
        <w:t>...</w:t>
      </w:r>
      <w:r w:rsidR="003C3F5F" w:rsidRPr="004E45FB">
        <w:rPr>
          <w:rFonts w:eastAsiaTheme="minorHAnsi"/>
        </w:rPr>
        <w:tab/>
      </w:r>
      <w:r w:rsidR="00402054">
        <w:rPr>
          <w:rFonts w:eastAsiaTheme="minorHAnsi"/>
        </w:rPr>
        <w:t>10</w:t>
      </w:r>
    </w:p>
    <w:p w:rsidR="00025D15" w:rsidRDefault="00402054" w:rsidP="00025D15">
      <w:pPr>
        <w:spacing w:line="276" w:lineRule="auto"/>
        <w:rPr>
          <w:rFonts w:eastAsiaTheme="minorHAnsi"/>
        </w:rPr>
      </w:pPr>
      <w:r>
        <w:rPr>
          <w:rFonts w:eastAsiaTheme="minorHAnsi"/>
        </w:rPr>
        <w:t>Annex 1:</w:t>
      </w:r>
      <w:r>
        <w:rPr>
          <w:rFonts w:eastAsiaTheme="minorHAnsi"/>
        </w:rPr>
        <w:tab/>
        <w:t>Financial Report</w:t>
      </w:r>
      <w:r>
        <w:rPr>
          <w:rFonts w:eastAsiaTheme="minorHAnsi"/>
        </w:rPr>
        <w:tab/>
        <w:t>…………………………………………….</w:t>
      </w:r>
      <w:r>
        <w:rPr>
          <w:rFonts w:eastAsiaTheme="minorHAnsi"/>
        </w:rPr>
        <w:tab/>
        <w:t>14</w:t>
      </w:r>
    </w:p>
    <w:p w:rsidR="00402054" w:rsidRPr="004E45FB" w:rsidRDefault="00402054" w:rsidP="00025D15">
      <w:pPr>
        <w:spacing w:line="276" w:lineRule="auto"/>
        <w:rPr>
          <w:rFonts w:eastAsiaTheme="minorHAnsi"/>
        </w:rPr>
      </w:pPr>
    </w:p>
    <w:p w:rsidR="003C07E8" w:rsidRDefault="003C07E8" w:rsidP="00025D15">
      <w:pPr>
        <w:spacing w:line="276" w:lineRule="auto"/>
        <w:rPr>
          <w:rFonts w:eastAsiaTheme="minorHAnsi"/>
        </w:rPr>
      </w:pPr>
    </w:p>
    <w:p w:rsidR="00402054" w:rsidRDefault="00402054" w:rsidP="00025D15">
      <w:pPr>
        <w:spacing w:line="276" w:lineRule="auto"/>
        <w:rPr>
          <w:rFonts w:eastAsiaTheme="minorHAnsi"/>
        </w:rPr>
      </w:pPr>
    </w:p>
    <w:p w:rsidR="00402054" w:rsidRDefault="00402054" w:rsidP="00025D15">
      <w:pPr>
        <w:spacing w:line="276" w:lineRule="auto"/>
        <w:rPr>
          <w:rFonts w:eastAsiaTheme="minorHAnsi"/>
        </w:rPr>
      </w:pPr>
    </w:p>
    <w:p w:rsidR="00402054" w:rsidRDefault="00402054" w:rsidP="00025D15">
      <w:pPr>
        <w:spacing w:line="276" w:lineRule="auto"/>
        <w:rPr>
          <w:rFonts w:eastAsiaTheme="minorHAnsi"/>
        </w:rPr>
      </w:pPr>
    </w:p>
    <w:p w:rsidR="00402054" w:rsidRDefault="00402054" w:rsidP="00025D15">
      <w:pPr>
        <w:spacing w:line="276" w:lineRule="auto"/>
        <w:rPr>
          <w:rFonts w:eastAsiaTheme="minorHAnsi"/>
        </w:rPr>
      </w:pPr>
    </w:p>
    <w:p w:rsidR="00402054" w:rsidRPr="004E45FB" w:rsidRDefault="00402054" w:rsidP="00025D15">
      <w:pPr>
        <w:spacing w:line="276" w:lineRule="auto"/>
        <w:rPr>
          <w:rFonts w:eastAsiaTheme="minorHAnsi"/>
        </w:rPr>
      </w:pPr>
    </w:p>
    <w:p w:rsidR="003C07E8" w:rsidRDefault="003C07E8" w:rsidP="00025D15">
      <w:pPr>
        <w:spacing w:line="276" w:lineRule="auto"/>
        <w:rPr>
          <w:rFonts w:eastAsiaTheme="minorHAnsi"/>
          <w:sz w:val="26"/>
          <w:szCs w:val="26"/>
        </w:rPr>
      </w:pPr>
    </w:p>
    <w:p w:rsidR="003C07E8" w:rsidRDefault="003C07E8" w:rsidP="00025D15">
      <w:pPr>
        <w:spacing w:line="276" w:lineRule="auto"/>
        <w:rPr>
          <w:rFonts w:eastAsiaTheme="minorHAnsi"/>
          <w:sz w:val="26"/>
          <w:szCs w:val="26"/>
        </w:rPr>
      </w:pPr>
    </w:p>
    <w:p w:rsidR="0031679C" w:rsidRDefault="0031679C" w:rsidP="00025D15">
      <w:pPr>
        <w:spacing w:line="276" w:lineRule="auto"/>
        <w:rPr>
          <w:rFonts w:eastAsiaTheme="minorHAnsi"/>
          <w:sz w:val="26"/>
          <w:szCs w:val="26"/>
        </w:rPr>
      </w:pPr>
    </w:p>
    <w:p w:rsidR="003C07E8" w:rsidRDefault="003C07E8" w:rsidP="00025D15">
      <w:pPr>
        <w:spacing w:line="276" w:lineRule="auto"/>
        <w:rPr>
          <w:rFonts w:eastAsiaTheme="minorHAnsi"/>
          <w:sz w:val="26"/>
          <w:szCs w:val="26"/>
        </w:rPr>
      </w:pPr>
    </w:p>
    <w:p w:rsidR="004E45FB" w:rsidRDefault="004E45FB" w:rsidP="00025D15">
      <w:pPr>
        <w:spacing w:line="276" w:lineRule="auto"/>
        <w:rPr>
          <w:rFonts w:eastAsiaTheme="minorHAnsi"/>
          <w:sz w:val="26"/>
          <w:szCs w:val="26"/>
        </w:rPr>
      </w:pPr>
    </w:p>
    <w:p w:rsidR="004E45FB" w:rsidRDefault="004E45FB" w:rsidP="00025D15">
      <w:pPr>
        <w:spacing w:line="276" w:lineRule="auto"/>
        <w:rPr>
          <w:rFonts w:eastAsiaTheme="minorHAnsi"/>
          <w:sz w:val="26"/>
          <w:szCs w:val="26"/>
        </w:rPr>
      </w:pPr>
    </w:p>
    <w:p w:rsidR="004E45FB" w:rsidRPr="003C07E8" w:rsidRDefault="004E45FB" w:rsidP="00025D15">
      <w:pPr>
        <w:spacing w:line="276" w:lineRule="auto"/>
        <w:rPr>
          <w:rFonts w:eastAsiaTheme="minorHAnsi"/>
          <w:sz w:val="26"/>
          <w:szCs w:val="26"/>
        </w:rPr>
      </w:pPr>
    </w:p>
    <w:p w:rsidR="00DA1C24" w:rsidRPr="004E45FB" w:rsidRDefault="00DA1C24" w:rsidP="002875B9">
      <w:pPr>
        <w:pStyle w:val="ListParagraph"/>
        <w:spacing w:after="0" w:line="240" w:lineRule="auto"/>
        <w:ind w:left="360" w:hanging="360"/>
        <w:rPr>
          <w:rFonts w:ascii="Times New Roman" w:hAnsi="Times New Roman"/>
          <w:b/>
          <w:sz w:val="24"/>
          <w:szCs w:val="24"/>
        </w:rPr>
      </w:pPr>
      <w:r w:rsidRPr="004E45FB">
        <w:rPr>
          <w:rFonts w:ascii="Times New Roman" w:hAnsi="Times New Roman"/>
          <w:b/>
          <w:sz w:val="24"/>
          <w:szCs w:val="24"/>
        </w:rPr>
        <w:lastRenderedPageBreak/>
        <w:t>Acronyms</w:t>
      </w:r>
    </w:p>
    <w:p w:rsidR="00025D15" w:rsidRPr="004E45FB" w:rsidRDefault="00025D15" w:rsidP="00025D15">
      <w:bookmarkStart w:id="0" w:name="OLE_LINK1"/>
      <w:bookmarkStart w:id="1" w:name="OLE_LINK2"/>
    </w:p>
    <w:p w:rsidR="00025D15" w:rsidRPr="004E45FB" w:rsidRDefault="00025D15" w:rsidP="00025D15">
      <w:r w:rsidRPr="004E45FB">
        <w:t>AWPs</w:t>
      </w:r>
      <w:r w:rsidRPr="004E45FB">
        <w:tab/>
      </w:r>
      <w:r w:rsidRPr="004E45FB">
        <w:tab/>
        <w:t>Annual Work Plan(s)</w:t>
      </w:r>
    </w:p>
    <w:p w:rsidR="00025D15" w:rsidRPr="004E45FB" w:rsidRDefault="00025D15" w:rsidP="00025D15">
      <w:r w:rsidRPr="004E45FB">
        <w:t>DHRMD</w:t>
      </w:r>
      <w:r w:rsidRPr="004E45FB">
        <w:tab/>
        <w:t>Department of Human Resource Management and Development</w:t>
      </w:r>
    </w:p>
    <w:p w:rsidR="00025D15" w:rsidRPr="004E45FB" w:rsidRDefault="00025D15" w:rsidP="00025D15">
      <w:r w:rsidRPr="004E45FB">
        <w:t>DISTMS</w:t>
      </w:r>
      <w:r w:rsidRPr="004E45FB">
        <w:tab/>
        <w:t>Department of Information Systems and Management Services</w:t>
      </w:r>
    </w:p>
    <w:p w:rsidR="00025D15" w:rsidRDefault="00025D15" w:rsidP="00025D15">
      <w:r w:rsidRPr="004E45FB">
        <w:t>DPs</w:t>
      </w:r>
      <w:r w:rsidRPr="004E45FB">
        <w:tab/>
      </w:r>
      <w:r w:rsidRPr="004E45FB">
        <w:tab/>
        <w:t>Development Partners</w:t>
      </w:r>
    </w:p>
    <w:p w:rsidR="00931AEE" w:rsidRPr="004E45FB" w:rsidRDefault="00931AEE" w:rsidP="00025D15">
      <w:r>
        <w:t>GoM</w:t>
      </w:r>
      <w:r>
        <w:tab/>
      </w:r>
      <w:r>
        <w:tab/>
        <w:t>Government of Malawi</w:t>
      </w:r>
    </w:p>
    <w:p w:rsidR="00025D15" w:rsidRPr="004E45FB" w:rsidRDefault="00025D15" w:rsidP="00025D15">
      <w:r w:rsidRPr="004E45FB">
        <w:t>ICT</w:t>
      </w:r>
      <w:r w:rsidRPr="004E45FB">
        <w:tab/>
      </w:r>
      <w:r w:rsidRPr="004E45FB">
        <w:tab/>
        <w:t>Information and Communication Technology</w:t>
      </w:r>
    </w:p>
    <w:p w:rsidR="00025D15" w:rsidRPr="004E45FB" w:rsidRDefault="00025D15" w:rsidP="00025D15">
      <w:r w:rsidRPr="004E45FB">
        <w:t>IP</w:t>
      </w:r>
      <w:r w:rsidRPr="004E45FB">
        <w:tab/>
      </w:r>
      <w:r w:rsidRPr="004E45FB">
        <w:tab/>
        <w:t>Implementing Partner</w:t>
      </w:r>
    </w:p>
    <w:p w:rsidR="00025D15" w:rsidRPr="004E45FB" w:rsidRDefault="00025D15" w:rsidP="00025D15">
      <w:r w:rsidRPr="004E45FB">
        <w:t>MDAs</w:t>
      </w:r>
      <w:r w:rsidRPr="004E45FB">
        <w:tab/>
      </w:r>
      <w:r w:rsidRPr="004E45FB">
        <w:tab/>
        <w:t>Ministries, Departments and Agencies</w:t>
      </w:r>
    </w:p>
    <w:p w:rsidR="00025D15" w:rsidRPr="004E45FB" w:rsidRDefault="00025D15" w:rsidP="00025D15">
      <w:r w:rsidRPr="004E45FB">
        <w:t>MIM</w:t>
      </w:r>
      <w:r w:rsidRPr="004E45FB">
        <w:tab/>
      </w:r>
      <w:r w:rsidRPr="004E45FB">
        <w:tab/>
        <w:t>Malawi Institute of Management</w:t>
      </w:r>
    </w:p>
    <w:p w:rsidR="00025D15" w:rsidRPr="004E45FB" w:rsidRDefault="006F7D8B" w:rsidP="00025D15">
      <w:r w:rsidRPr="004E45FB">
        <w:t>MGDS</w:t>
      </w:r>
      <w:r w:rsidR="003319A1">
        <w:tab/>
      </w:r>
      <w:r w:rsidRPr="004E45FB">
        <w:tab/>
      </w:r>
      <w:r w:rsidR="00025D15" w:rsidRPr="004E45FB">
        <w:t>Malawi Growth and Development Strategy</w:t>
      </w:r>
    </w:p>
    <w:p w:rsidR="00025D15" w:rsidRPr="004E45FB" w:rsidRDefault="00025D15" w:rsidP="00025D15">
      <w:r w:rsidRPr="004E45FB">
        <w:t>NHRS</w:t>
      </w:r>
      <w:r w:rsidRPr="004E45FB">
        <w:tab/>
      </w:r>
      <w:r w:rsidRPr="004E45FB">
        <w:tab/>
        <w:t>National Human Resource Survey</w:t>
      </w:r>
    </w:p>
    <w:p w:rsidR="00025D15" w:rsidRPr="004E45FB" w:rsidRDefault="00025D15" w:rsidP="00025D15">
      <w:r w:rsidRPr="004E45FB">
        <w:t>OPC</w:t>
      </w:r>
      <w:r w:rsidRPr="004E45FB">
        <w:tab/>
      </w:r>
      <w:r w:rsidRPr="004E45FB">
        <w:tab/>
        <w:t>Office of the President and Cabinet</w:t>
      </w:r>
    </w:p>
    <w:p w:rsidR="00025D15" w:rsidRDefault="00025D15" w:rsidP="00025D15">
      <w:r w:rsidRPr="004E45FB">
        <w:t>PA-SWG</w:t>
      </w:r>
      <w:r w:rsidRPr="004E45FB">
        <w:tab/>
        <w:t>Public Administration Sector Working Group</w:t>
      </w:r>
    </w:p>
    <w:p w:rsidR="00931AEE" w:rsidRPr="004E45FB" w:rsidRDefault="00931AEE" w:rsidP="00025D15">
      <w:r>
        <w:t>PD</w:t>
      </w:r>
      <w:r>
        <w:tab/>
      </w:r>
      <w:r>
        <w:tab/>
        <w:t>Program/Project Document</w:t>
      </w:r>
    </w:p>
    <w:p w:rsidR="00025D15" w:rsidRDefault="00025D15" w:rsidP="00025D15">
      <w:r w:rsidRPr="004E45FB">
        <w:t>PFEM</w:t>
      </w:r>
      <w:r w:rsidRPr="004E45FB">
        <w:tab/>
      </w:r>
      <w:r w:rsidRPr="004E45FB">
        <w:tab/>
        <w:t>Public Finance and Economic Management</w:t>
      </w:r>
    </w:p>
    <w:p w:rsidR="00931AEE" w:rsidRPr="004E45FB" w:rsidRDefault="00931AEE" w:rsidP="00025D15">
      <w:r>
        <w:t>PSMP</w:t>
      </w:r>
      <w:r>
        <w:tab/>
      </w:r>
      <w:r>
        <w:tab/>
        <w:t>Public Service Modernization Program</w:t>
      </w:r>
    </w:p>
    <w:p w:rsidR="00025D15" w:rsidRPr="004E45FB" w:rsidRDefault="00025D15" w:rsidP="00025D15">
      <w:r w:rsidRPr="004E45FB">
        <w:t>PSMRCDP</w:t>
      </w:r>
      <w:r w:rsidRPr="004E45FB">
        <w:tab/>
        <w:t>Public Service Management Reforms and Capacity Development Program</w:t>
      </w:r>
    </w:p>
    <w:p w:rsidR="00025D15" w:rsidRPr="004E45FB" w:rsidRDefault="00025D15" w:rsidP="00025D15">
      <w:r w:rsidRPr="004E45FB">
        <w:t>PSs</w:t>
      </w:r>
      <w:r w:rsidRPr="004E45FB">
        <w:tab/>
      </w:r>
      <w:r w:rsidRPr="004E45FB">
        <w:tab/>
        <w:t>Principal Secretaries</w:t>
      </w:r>
    </w:p>
    <w:p w:rsidR="00025D15" w:rsidRPr="004E45FB" w:rsidRDefault="00025D15" w:rsidP="00025D15">
      <w:r w:rsidRPr="004E45FB">
        <w:t>PSA</w:t>
      </w:r>
      <w:r w:rsidRPr="004E45FB">
        <w:tab/>
      </w:r>
      <w:r w:rsidRPr="004E45FB">
        <w:tab/>
        <w:t>Public Service Administration</w:t>
      </w:r>
    </w:p>
    <w:p w:rsidR="00025D15" w:rsidRPr="004E45FB" w:rsidRDefault="00025D15" w:rsidP="00025D15">
      <w:r w:rsidRPr="004E45FB">
        <w:t>PSCDP</w:t>
      </w:r>
      <w:r w:rsidRPr="004E45FB">
        <w:tab/>
        <w:t>Public Service Capacity Development Project</w:t>
      </w:r>
    </w:p>
    <w:p w:rsidR="00025D15" w:rsidRDefault="00931AEE" w:rsidP="00025D15">
      <w:r>
        <w:t>PSRMU</w:t>
      </w:r>
      <w:r>
        <w:tab/>
        <w:t>Public S</w:t>
      </w:r>
      <w:r w:rsidR="00025D15" w:rsidRPr="004E45FB">
        <w:t>ector Reforms and Management Unit</w:t>
      </w:r>
    </w:p>
    <w:p w:rsidR="00931AEE" w:rsidRDefault="00931AEE" w:rsidP="00025D15">
      <w:r>
        <w:t>PSRC</w:t>
      </w:r>
      <w:r>
        <w:tab/>
      </w:r>
      <w:r>
        <w:tab/>
        <w:t>Public Service Reforms Commission</w:t>
      </w:r>
    </w:p>
    <w:p w:rsidR="00931AEE" w:rsidRPr="004E45FB" w:rsidRDefault="00931AEE" w:rsidP="00025D15">
      <w:r>
        <w:t>RCSA</w:t>
      </w:r>
      <w:r>
        <w:tab/>
      </w:r>
      <w:r>
        <w:tab/>
        <w:t>Regional Service Center for Africa</w:t>
      </w:r>
    </w:p>
    <w:p w:rsidR="00025D15" w:rsidRPr="004E45FB" w:rsidRDefault="00025D15" w:rsidP="00025D15">
      <w:r w:rsidRPr="004E45FB">
        <w:t>RPs</w:t>
      </w:r>
      <w:r w:rsidRPr="004E45FB">
        <w:tab/>
      </w:r>
      <w:r w:rsidRPr="004E45FB">
        <w:tab/>
        <w:t>Responsible Parties</w:t>
      </w:r>
    </w:p>
    <w:p w:rsidR="00025D15" w:rsidRPr="004E45FB" w:rsidRDefault="00025D15" w:rsidP="00025D15">
      <w:r w:rsidRPr="004E45FB">
        <w:t>SFC</w:t>
      </w:r>
      <w:r w:rsidRPr="004E45FB">
        <w:tab/>
      </w:r>
      <w:r w:rsidRPr="004E45FB">
        <w:tab/>
        <w:t>Skills Focus Consult</w:t>
      </w:r>
    </w:p>
    <w:p w:rsidR="00025D15" w:rsidRPr="004E45FB" w:rsidRDefault="00025D15" w:rsidP="00025D15">
      <w:r w:rsidRPr="004E45FB">
        <w:t>SDI</w:t>
      </w:r>
      <w:r w:rsidRPr="004E45FB">
        <w:tab/>
      </w:r>
      <w:r w:rsidRPr="004E45FB">
        <w:tab/>
        <w:t>Staff Development institute</w:t>
      </w:r>
    </w:p>
    <w:p w:rsidR="00025D15" w:rsidRPr="004E45FB" w:rsidRDefault="00025D15" w:rsidP="00025D15">
      <w:r w:rsidRPr="004E45FB">
        <w:t>TRAC</w:t>
      </w:r>
      <w:r w:rsidRPr="004E45FB">
        <w:tab/>
      </w:r>
      <w:r w:rsidRPr="004E45FB">
        <w:tab/>
        <w:t>Target Resources Allocation from Core</w:t>
      </w:r>
    </w:p>
    <w:p w:rsidR="00025D15" w:rsidRPr="004E45FB" w:rsidRDefault="00025D15" w:rsidP="00025D15">
      <w:r w:rsidRPr="004E45FB">
        <w:t>UNDAF</w:t>
      </w:r>
      <w:r w:rsidRPr="004E45FB">
        <w:tab/>
        <w:t>United Nations Development Assistance Framework</w:t>
      </w:r>
    </w:p>
    <w:p w:rsidR="00025D15" w:rsidRPr="004E45FB" w:rsidRDefault="00025D15" w:rsidP="00025D15">
      <w:r w:rsidRPr="004E45FB">
        <w:t>UNDAF-AP</w:t>
      </w:r>
      <w:r w:rsidRPr="004E45FB">
        <w:tab/>
        <w:t>United Nations Development Framework Action Plan</w:t>
      </w:r>
    </w:p>
    <w:p w:rsidR="00025D15" w:rsidRDefault="00025D15" w:rsidP="00025D15">
      <w:r w:rsidRPr="004E45FB">
        <w:t>UNDP</w:t>
      </w:r>
      <w:r w:rsidRPr="004E45FB">
        <w:tab/>
      </w:r>
      <w:r w:rsidRPr="004E45FB">
        <w:tab/>
        <w:t>United Nations Development Program</w:t>
      </w:r>
    </w:p>
    <w:p w:rsidR="00931AEE" w:rsidRPr="004E45FB" w:rsidRDefault="00931AEE" w:rsidP="00025D15">
      <w:r>
        <w:t>USAID</w:t>
      </w:r>
      <w:r>
        <w:tab/>
        <w:t xml:space="preserve">United States Agency for International </w:t>
      </w:r>
      <w:r w:rsidR="00DE049A">
        <w:t>Development</w:t>
      </w:r>
    </w:p>
    <w:bookmarkEnd w:id="0"/>
    <w:bookmarkEnd w:id="1"/>
    <w:p w:rsidR="00DA1C24" w:rsidRPr="004E45FB" w:rsidRDefault="00DA1C24" w:rsidP="002875B9">
      <w:pPr>
        <w:pStyle w:val="ListParagraph"/>
        <w:spacing w:after="0" w:line="240" w:lineRule="auto"/>
        <w:ind w:left="360" w:hanging="360"/>
        <w:rPr>
          <w:rFonts w:ascii="Times New Roman" w:hAnsi="Times New Roman"/>
          <w:sz w:val="24"/>
          <w:szCs w:val="24"/>
        </w:rPr>
      </w:pPr>
    </w:p>
    <w:p w:rsidR="00025D15" w:rsidRPr="003C07E8" w:rsidRDefault="00025D15" w:rsidP="002875B9">
      <w:pPr>
        <w:pStyle w:val="ListParagraph"/>
        <w:spacing w:after="0" w:line="240" w:lineRule="auto"/>
        <w:ind w:left="360" w:hanging="360"/>
        <w:rPr>
          <w:rFonts w:ascii="Times New Roman" w:hAnsi="Times New Roman"/>
          <w:sz w:val="26"/>
          <w:szCs w:val="26"/>
        </w:rPr>
      </w:pPr>
    </w:p>
    <w:p w:rsidR="00025D15" w:rsidRPr="003C07E8" w:rsidRDefault="00025D15" w:rsidP="002875B9">
      <w:pPr>
        <w:pStyle w:val="ListParagraph"/>
        <w:spacing w:after="0" w:line="240" w:lineRule="auto"/>
        <w:ind w:left="360" w:hanging="360"/>
        <w:rPr>
          <w:rFonts w:ascii="Times New Roman" w:hAnsi="Times New Roman"/>
          <w:sz w:val="26"/>
          <w:szCs w:val="26"/>
        </w:rPr>
      </w:pPr>
    </w:p>
    <w:p w:rsidR="00025D15" w:rsidRPr="003C07E8" w:rsidRDefault="00025D15" w:rsidP="002875B9">
      <w:pPr>
        <w:pStyle w:val="ListParagraph"/>
        <w:spacing w:after="0" w:line="240" w:lineRule="auto"/>
        <w:ind w:left="360" w:hanging="360"/>
        <w:rPr>
          <w:rFonts w:ascii="Times New Roman" w:hAnsi="Times New Roman"/>
          <w:sz w:val="26"/>
          <w:szCs w:val="26"/>
        </w:rPr>
      </w:pPr>
    </w:p>
    <w:p w:rsidR="004E45FB" w:rsidRDefault="004E45FB" w:rsidP="002875B9">
      <w:pPr>
        <w:pStyle w:val="ListParagraph"/>
        <w:spacing w:after="0" w:line="240" w:lineRule="auto"/>
        <w:ind w:left="0"/>
        <w:rPr>
          <w:rFonts w:ascii="Times New Roman" w:hAnsi="Times New Roman"/>
          <w:b/>
          <w:sz w:val="26"/>
          <w:szCs w:val="26"/>
        </w:rPr>
      </w:pPr>
    </w:p>
    <w:p w:rsidR="004E45FB" w:rsidRDefault="004E45FB" w:rsidP="002875B9">
      <w:pPr>
        <w:pStyle w:val="ListParagraph"/>
        <w:spacing w:after="0" w:line="240" w:lineRule="auto"/>
        <w:ind w:left="0"/>
        <w:rPr>
          <w:rFonts w:ascii="Times New Roman" w:hAnsi="Times New Roman"/>
          <w:b/>
          <w:sz w:val="26"/>
          <w:szCs w:val="26"/>
        </w:rPr>
      </w:pPr>
    </w:p>
    <w:p w:rsidR="004E45FB" w:rsidRDefault="004E45FB" w:rsidP="002875B9">
      <w:pPr>
        <w:pStyle w:val="ListParagraph"/>
        <w:spacing w:after="0" w:line="240" w:lineRule="auto"/>
        <w:ind w:left="0"/>
        <w:rPr>
          <w:rFonts w:ascii="Times New Roman" w:hAnsi="Times New Roman"/>
          <w:b/>
          <w:sz w:val="26"/>
          <w:szCs w:val="26"/>
        </w:rPr>
      </w:pPr>
    </w:p>
    <w:p w:rsidR="004E45FB" w:rsidRDefault="004E45FB" w:rsidP="002875B9">
      <w:pPr>
        <w:pStyle w:val="ListParagraph"/>
        <w:spacing w:after="0" w:line="240" w:lineRule="auto"/>
        <w:ind w:left="0"/>
        <w:rPr>
          <w:rFonts w:ascii="Times New Roman" w:hAnsi="Times New Roman"/>
          <w:b/>
          <w:sz w:val="26"/>
          <w:szCs w:val="26"/>
        </w:rPr>
      </w:pPr>
    </w:p>
    <w:p w:rsidR="00931AEE" w:rsidRDefault="00931AEE" w:rsidP="002875B9">
      <w:pPr>
        <w:pStyle w:val="ListParagraph"/>
        <w:spacing w:after="0" w:line="240" w:lineRule="auto"/>
        <w:ind w:left="0"/>
        <w:rPr>
          <w:rFonts w:ascii="Times New Roman" w:hAnsi="Times New Roman"/>
          <w:b/>
          <w:sz w:val="24"/>
          <w:szCs w:val="24"/>
        </w:rPr>
      </w:pPr>
    </w:p>
    <w:p w:rsidR="00931AEE" w:rsidRDefault="00931AEE" w:rsidP="002875B9">
      <w:pPr>
        <w:pStyle w:val="ListParagraph"/>
        <w:spacing w:after="0" w:line="240" w:lineRule="auto"/>
        <w:ind w:left="0"/>
        <w:rPr>
          <w:rFonts w:ascii="Times New Roman" w:hAnsi="Times New Roman"/>
          <w:b/>
          <w:sz w:val="24"/>
          <w:szCs w:val="24"/>
        </w:rPr>
      </w:pPr>
    </w:p>
    <w:p w:rsidR="00931AEE" w:rsidRDefault="00931AEE" w:rsidP="002875B9">
      <w:pPr>
        <w:pStyle w:val="ListParagraph"/>
        <w:spacing w:after="0" w:line="240" w:lineRule="auto"/>
        <w:ind w:left="0"/>
        <w:rPr>
          <w:rFonts w:ascii="Times New Roman" w:hAnsi="Times New Roman"/>
          <w:b/>
          <w:sz w:val="24"/>
          <w:szCs w:val="24"/>
        </w:rPr>
      </w:pPr>
    </w:p>
    <w:p w:rsidR="00931AEE" w:rsidRDefault="00931AEE" w:rsidP="002875B9">
      <w:pPr>
        <w:pStyle w:val="ListParagraph"/>
        <w:spacing w:after="0" w:line="240" w:lineRule="auto"/>
        <w:ind w:left="0"/>
        <w:rPr>
          <w:rFonts w:ascii="Times New Roman" w:hAnsi="Times New Roman"/>
          <w:b/>
          <w:sz w:val="24"/>
          <w:szCs w:val="24"/>
        </w:rPr>
      </w:pPr>
    </w:p>
    <w:p w:rsidR="00931AEE" w:rsidRDefault="00931AEE" w:rsidP="002875B9">
      <w:pPr>
        <w:pStyle w:val="ListParagraph"/>
        <w:spacing w:after="0" w:line="240" w:lineRule="auto"/>
        <w:ind w:left="0"/>
        <w:rPr>
          <w:rFonts w:ascii="Times New Roman" w:hAnsi="Times New Roman"/>
          <w:b/>
          <w:sz w:val="24"/>
          <w:szCs w:val="24"/>
        </w:rPr>
      </w:pPr>
    </w:p>
    <w:p w:rsidR="00DA1C24" w:rsidRPr="00220560" w:rsidRDefault="00DA1C24" w:rsidP="002875B9">
      <w:pPr>
        <w:pStyle w:val="ListParagraph"/>
        <w:spacing w:after="0" w:line="240" w:lineRule="auto"/>
        <w:ind w:left="0"/>
        <w:rPr>
          <w:rFonts w:ascii="Times New Roman" w:hAnsi="Times New Roman"/>
          <w:sz w:val="24"/>
          <w:szCs w:val="24"/>
        </w:rPr>
      </w:pPr>
      <w:r w:rsidRPr="00220560">
        <w:rPr>
          <w:rFonts w:ascii="Times New Roman" w:hAnsi="Times New Roman"/>
          <w:b/>
          <w:sz w:val="24"/>
          <w:szCs w:val="24"/>
        </w:rPr>
        <w:lastRenderedPageBreak/>
        <w:t>Executive Summary</w:t>
      </w:r>
      <w:r w:rsidRPr="00220560">
        <w:rPr>
          <w:rFonts w:ascii="Times New Roman" w:hAnsi="Times New Roman"/>
          <w:sz w:val="24"/>
          <w:szCs w:val="24"/>
        </w:rPr>
        <w:t xml:space="preserve"> </w:t>
      </w:r>
    </w:p>
    <w:p w:rsidR="00DA1C24" w:rsidRPr="00220560" w:rsidRDefault="00DA1C24" w:rsidP="002875B9">
      <w:pPr>
        <w:ind w:left="720" w:hanging="360"/>
      </w:pPr>
    </w:p>
    <w:p w:rsidR="00025D15" w:rsidRDefault="00220560" w:rsidP="00220560">
      <w:pPr>
        <w:jc w:val="both"/>
      </w:pPr>
      <w:r w:rsidRPr="00220560">
        <w:t xml:space="preserve">Preparation of the 2014 </w:t>
      </w:r>
      <w:r>
        <w:t>Annual Work Pla</w:t>
      </w:r>
      <w:r w:rsidR="00A42655">
        <w:t xml:space="preserve">n </w:t>
      </w:r>
      <w:r w:rsidR="004712F2">
        <w:t xml:space="preserve">(AWP) </w:t>
      </w:r>
      <w:r w:rsidR="00A42655">
        <w:t xml:space="preserve">was largely influenced by the September 2013 financial mismanagement christened as </w:t>
      </w:r>
      <w:r w:rsidR="00A42655" w:rsidRPr="00C85A43">
        <w:rPr>
          <w:i/>
        </w:rPr>
        <w:t>“cashgate scandal”</w:t>
      </w:r>
      <w:r w:rsidR="004712F2">
        <w:rPr>
          <w:i/>
        </w:rPr>
        <w:t xml:space="preserve">.  </w:t>
      </w:r>
      <w:r w:rsidR="004712F2" w:rsidRPr="004712F2">
        <w:t xml:space="preserve">The mismanagement was </w:t>
      </w:r>
      <w:r w:rsidR="004712F2">
        <w:t xml:space="preserve">largely </w:t>
      </w:r>
      <w:r w:rsidR="004712F2" w:rsidRPr="004712F2">
        <w:t>a r</w:t>
      </w:r>
      <w:r w:rsidR="00A42655" w:rsidRPr="004712F2">
        <w:t>esult</w:t>
      </w:r>
      <w:r w:rsidR="004712F2" w:rsidRPr="004712F2">
        <w:t xml:space="preserve"> of</w:t>
      </w:r>
      <w:r w:rsidR="00A42655" w:rsidRPr="004712F2">
        <w:t xml:space="preserve"> </w:t>
      </w:r>
      <w:r w:rsidRPr="004712F2">
        <w:t>declining</w:t>
      </w:r>
      <w:r>
        <w:t xml:space="preserve"> ethical</w:t>
      </w:r>
      <w:r w:rsidR="00A42655">
        <w:t xml:space="preserve"> values</w:t>
      </w:r>
      <w:r>
        <w:t>, integrity and professional</w:t>
      </w:r>
      <w:r w:rsidR="00A42655">
        <w:t>ism</w:t>
      </w:r>
      <w:r>
        <w:t xml:space="preserve"> within the public service</w:t>
      </w:r>
      <w:r w:rsidR="00C85A43">
        <w:t xml:space="preserve">.  </w:t>
      </w:r>
      <w:r w:rsidR="004712F2">
        <w:t xml:space="preserve">In response, the </w:t>
      </w:r>
      <w:r w:rsidR="00C85A43">
        <w:t xml:space="preserve">AWP was designed to review past </w:t>
      </w:r>
      <w:r w:rsidR="00420A86">
        <w:t xml:space="preserve">public service reforms against best practices and recommend the way forward.  </w:t>
      </w:r>
      <w:r w:rsidR="004712F2">
        <w:t>T</w:t>
      </w:r>
      <w:r w:rsidR="00E23F21">
        <w:t xml:space="preserve">he AWP </w:t>
      </w:r>
      <w:r w:rsidR="004712F2">
        <w:t xml:space="preserve">was also intended to </w:t>
      </w:r>
      <w:r w:rsidR="00E23F21">
        <w:t xml:space="preserve">address declining ethical behaviors </w:t>
      </w:r>
      <w:r w:rsidR="001E5A59">
        <w:t>through carrying out of</w:t>
      </w:r>
      <w:r w:rsidR="00420A86">
        <w:t xml:space="preserve"> ethics, integrity and professionalism training for senior officers in the public service as a way of restoring confidence</w:t>
      </w:r>
      <w:r w:rsidR="001E5A59">
        <w:t xml:space="preserve"> </w:t>
      </w:r>
      <w:r w:rsidR="002B542C">
        <w:t>in</w:t>
      </w:r>
      <w:r w:rsidR="001E5A59">
        <w:t xml:space="preserve"> both the Malawian citizenry and development partners</w:t>
      </w:r>
      <w:r w:rsidR="00420A86">
        <w:t>.</w:t>
      </w:r>
      <w:r w:rsidR="00C85A43">
        <w:t xml:space="preserve"> </w:t>
      </w:r>
      <w:r w:rsidR="00420A86">
        <w:t xml:space="preserve">  </w:t>
      </w:r>
    </w:p>
    <w:p w:rsidR="00420A86" w:rsidRDefault="00420A86" w:rsidP="00220560">
      <w:pPr>
        <w:jc w:val="both"/>
      </w:pPr>
    </w:p>
    <w:p w:rsidR="00993124" w:rsidRDefault="001E5A59" w:rsidP="00220560">
      <w:pPr>
        <w:jc w:val="both"/>
      </w:pPr>
      <w:r>
        <w:t>A positive development in the year under review was the growing comm</w:t>
      </w:r>
      <w:r w:rsidR="001054E8">
        <w:t xml:space="preserve">itment by the new Government to </w:t>
      </w:r>
      <w:r>
        <w:t xml:space="preserve">reform the public service and make it more efficient and effective in service delivery.  </w:t>
      </w:r>
      <w:r w:rsidR="001054E8">
        <w:t xml:space="preserve">This was demonstrated in the establishment of the Public Service Reforms Commission (PSRC). </w:t>
      </w:r>
      <w:r>
        <w:t>The year also saw both the Government of Malawi (GoM) and development partners realize the need to come up with a comprehensive approach towards public service reforms and link them to other reforms, especially Public Finance and Econ</w:t>
      </w:r>
      <w:r w:rsidR="00993124">
        <w:t xml:space="preserve">omic Management Reforms (PFEM).  </w:t>
      </w:r>
      <w:r w:rsidR="00B7375C">
        <w:t>Furthermore, s</w:t>
      </w:r>
      <w:r w:rsidR="00420A86">
        <w:t>ignificant progress was made</w:t>
      </w:r>
      <w:r w:rsidR="00993124">
        <w:t xml:space="preserve"> towards intended targets</w:t>
      </w:r>
      <w:r w:rsidR="001B20EE">
        <w:t xml:space="preserve"> following support from the Project</w:t>
      </w:r>
      <w:r w:rsidR="00993124">
        <w:t>.</w:t>
      </w:r>
    </w:p>
    <w:p w:rsidR="00993124" w:rsidRDefault="00993124" w:rsidP="00220560">
      <w:pPr>
        <w:jc w:val="both"/>
      </w:pPr>
    </w:p>
    <w:p w:rsidR="00D92BF5" w:rsidRDefault="001B20EE" w:rsidP="00220560">
      <w:pPr>
        <w:jc w:val="both"/>
      </w:pPr>
      <w:r>
        <w:t>First, a</w:t>
      </w:r>
      <w:r w:rsidR="00420A86">
        <w:t xml:space="preserve"> review of the progress on reforms was undertaken supported by the United States Agency for International Development</w:t>
      </w:r>
      <w:r w:rsidR="00905EE4">
        <w:t xml:space="preserve"> (USAID)</w:t>
      </w:r>
      <w:r w:rsidR="00420A86">
        <w:t>.</w:t>
      </w:r>
      <w:r w:rsidR="00905EE4">
        <w:t xml:space="preserve">  For the first time, public service reform issues generated tremendous interest from both the Government and development partners.  This led to the development of a draft Public Sector Modernization Program Document.  However, the process of finalizing the Document was overtaken by the establishment of the Public Service Reforms Commission tasked to drive the reforms agenda.  The Commission has so far put together observations and recommendations </w:t>
      </w:r>
      <w:r w:rsidR="00A62320">
        <w:t xml:space="preserve">which provide the basis for Malawi’s agenda </w:t>
      </w:r>
      <w:r w:rsidR="00D92BF5">
        <w:t>to restore efficiency and effectiveness within the public service.  The next step is to come up with an Action Plan.</w:t>
      </w:r>
    </w:p>
    <w:p w:rsidR="00D92BF5" w:rsidRDefault="00D92BF5" w:rsidP="00220560">
      <w:pPr>
        <w:jc w:val="both"/>
      </w:pPr>
    </w:p>
    <w:p w:rsidR="00993124" w:rsidRPr="001B20EE" w:rsidRDefault="001B20EE" w:rsidP="00220560">
      <w:pPr>
        <w:jc w:val="both"/>
        <w:rPr>
          <w:i/>
        </w:rPr>
      </w:pPr>
      <w:r>
        <w:t>Second and, a</w:t>
      </w:r>
      <w:r w:rsidR="00993124">
        <w:t xml:space="preserve">s a supplement to the Commissioners’ work, the Office of the Vice President held a Principal Secretaries’ and Head of </w:t>
      </w:r>
      <w:r>
        <w:t xml:space="preserve">Constitutional and Independent Bodies Annual Retreat to accord Controlling Officers with an opportunity to strategize on issues affecting the public service.  The 2014 Retreat was held five years after the previous one.  A recommendation was made to revive this annual event.  The theme of the Retreat was: </w:t>
      </w:r>
      <w:r w:rsidRPr="001B20EE">
        <w:rPr>
          <w:i/>
        </w:rPr>
        <w:t>“Leading for Results: The Critical Role of the Principal Secretary, Head of Constitutional and Independent Body”.</w:t>
      </w:r>
    </w:p>
    <w:p w:rsidR="001B20EE" w:rsidRDefault="001B20EE" w:rsidP="00220560">
      <w:pPr>
        <w:jc w:val="both"/>
      </w:pPr>
    </w:p>
    <w:p w:rsidR="00420A86" w:rsidRDefault="001B20EE" w:rsidP="00220560">
      <w:pPr>
        <w:jc w:val="both"/>
        <w:rPr>
          <w:rFonts w:eastAsia="Arial Unicode MS"/>
        </w:rPr>
      </w:pPr>
      <w:r>
        <w:t>Third, t</w:t>
      </w:r>
      <w:r w:rsidR="00D92BF5">
        <w:t xml:space="preserve">raining of senior public servants on ethics, integrity and professionalism for the public service was conducted at various levels – Training of Trainers; Principal Secretaries and Heads of Constitutional Bodies; and </w:t>
      </w:r>
      <w:r w:rsidR="00D92BF5" w:rsidRPr="00DB1D2C">
        <w:rPr>
          <w:rFonts w:eastAsia="Arial Unicode MS"/>
        </w:rPr>
        <w:t>Directors, Senior Accounting Personnel and Systems Analysts</w:t>
      </w:r>
      <w:r w:rsidR="00D92BF5">
        <w:rPr>
          <w:rFonts w:eastAsia="Arial Unicode MS"/>
        </w:rPr>
        <w:t xml:space="preserve"> with expertize from the</w:t>
      </w:r>
      <w:r w:rsidR="00D92BF5" w:rsidRPr="00D92BF5">
        <w:t xml:space="preserve"> </w:t>
      </w:r>
      <w:r w:rsidR="00D92BF5" w:rsidRPr="00DB1D2C">
        <w:t>Regional Service Center for Africa (RSCA)</w:t>
      </w:r>
      <w:r w:rsidR="00A62320">
        <w:rPr>
          <w:rFonts w:eastAsia="Arial Unicode MS"/>
        </w:rPr>
        <w:t xml:space="preserve">.  </w:t>
      </w:r>
      <w:r w:rsidR="00D92BF5">
        <w:rPr>
          <w:rFonts w:eastAsia="Arial Unicode MS"/>
        </w:rPr>
        <w:t>The training sessions were highly rated by participants.</w:t>
      </w:r>
    </w:p>
    <w:p w:rsidR="00993124" w:rsidRDefault="00993124" w:rsidP="00220560">
      <w:pPr>
        <w:jc w:val="both"/>
        <w:rPr>
          <w:rFonts w:eastAsia="Arial Unicode MS"/>
        </w:rPr>
      </w:pPr>
    </w:p>
    <w:p w:rsidR="00B7375C" w:rsidRDefault="00B7375C" w:rsidP="00220560">
      <w:pPr>
        <w:jc w:val="both"/>
        <w:rPr>
          <w:rFonts w:eastAsia="Arial Unicode MS"/>
        </w:rPr>
      </w:pPr>
    </w:p>
    <w:p w:rsidR="001B20EE" w:rsidRPr="00946588" w:rsidRDefault="001B20EE" w:rsidP="00220560">
      <w:pPr>
        <w:jc w:val="both"/>
        <w:rPr>
          <w:rFonts w:eastAsia="Arial Unicode MS"/>
          <w:color w:val="000000" w:themeColor="text1"/>
        </w:rPr>
      </w:pPr>
      <w:r w:rsidRPr="00946588">
        <w:rPr>
          <w:rFonts w:eastAsia="Arial Unicode MS"/>
          <w:color w:val="000000" w:themeColor="text1"/>
        </w:rPr>
        <w:lastRenderedPageBreak/>
        <w:t xml:space="preserve">Finally, </w:t>
      </w:r>
      <w:r w:rsidR="00B7375C" w:rsidRPr="00946588">
        <w:rPr>
          <w:rFonts w:eastAsia="Arial Unicode MS"/>
          <w:color w:val="000000" w:themeColor="text1"/>
        </w:rPr>
        <w:t>as a way of enhancing information technology security within the public service following financial mismanagement, the Department of e-Government contracted Chancellor College to carry out a series</w:t>
      </w:r>
      <w:r w:rsidR="00BC79FA" w:rsidRPr="00946588">
        <w:rPr>
          <w:rFonts w:eastAsia="Arial Unicode MS"/>
          <w:color w:val="000000" w:themeColor="text1"/>
        </w:rPr>
        <w:t xml:space="preserve"> of</w:t>
      </w:r>
      <w:r w:rsidR="00B7375C" w:rsidRPr="00946588">
        <w:rPr>
          <w:rFonts w:eastAsia="Arial Unicode MS"/>
          <w:color w:val="000000" w:themeColor="text1"/>
        </w:rPr>
        <w:t xml:space="preserve"> applied training courses.  It is widely believed that the mismanagement was largely triggered by senior public servants passing on their passwords to junior staff who, in turn, manipulated the financial systems.  It is hoped that with these trainings, there will be more adherence to segregation of duties and responsibilities as well as accountability within the public service. </w:t>
      </w:r>
    </w:p>
    <w:p w:rsidR="00993124" w:rsidRPr="00220560" w:rsidRDefault="00993124" w:rsidP="00220560">
      <w:pPr>
        <w:jc w:val="both"/>
      </w:pPr>
    </w:p>
    <w:p w:rsidR="00DA1C24" w:rsidRPr="00DB1D2C" w:rsidRDefault="00DA1C24" w:rsidP="00EC25EA">
      <w:pPr>
        <w:pStyle w:val="ListParagraph"/>
        <w:numPr>
          <w:ilvl w:val="0"/>
          <w:numId w:val="19"/>
        </w:numPr>
        <w:spacing w:after="0" w:line="240" w:lineRule="auto"/>
        <w:rPr>
          <w:rFonts w:ascii="Times New Roman" w:hAnsi="Times New Roman"/>
          <w:sz w:val="24"/>
          <w:szCs w:val="24"/>
        </w:rPr>
      </w:pPr>
      <w:r w:rsidRPr="00DB1D2C">
        <w:rPr>
          <w:rFonts w:ascii="Times New Roman" w:hAnsi="Times New Roman"/>
          <w:b/>
          <w:sz w:val="24"/>
          <w:szCs w:val="24"/>
        </w:rPr>
        <w:t>Situational Background</w:t>
      </w:r>
      <w:r w:rsidR="00EC25EA" w:rsidRPr="00DB1D2C">
        <w:rPr>
          <w:rFonts w:ascii="Times New Roman" w:hAnsi="Times New Roman"/>
          <w:b/>
          <w:sz w:val="24"/>
          <w:szCs w:val="24"/>
        </w:rPr>
        <w:t>/Context</w:t>
      </w:r>
      <w:r w:rsidRPr="00DB1D2C">
        <w:rPr>
          <w:rFonts w:ascii="Times New Roman" w:hAnsi="Times New Roman"/>
          <w:sz w:val="24"/>
          <w:szCs w:val="24"/>
        </w:rPr>
        <w:t xml:space="preserve"> </w:t>
      </w:r>
    </w:p>
    <w:p w:rsidR="00BD0C6B" w:rsidRPr="00DB1D2C" w:rsidRDefault="00BD0C6B" w:rsidP="00BD0C6B">
      <w:pPr>
        <w:jc w:val="both"/>
        <w:rPr>
          <w:color w:val="000000"/>
        </w:rPr>
      </w:pPr>
    </w:p>
    <w:p w:rsidR="00394DCF" w:rsidRPr="00DB1D2C" w:rsidRDefault="00394DCF" w:rsidP="00394DCF">
      <w:pPr>
        <w:autoSpaceDE w:val="0"/>
        <w:autoSpaceDN w:val="0"/>
        <w:adjustRightInd w:val="0"/>
        <w:jc w:val="both"/>
        <w:rPr>
          <w:bCs/>
        </w:rPr>
      </w:pPr>
      <w:r w:rsidRPr="00DB1D2C">
        <w:rPr>
          <w:color w:val="000000"/>
        </w:rPr>
        <w:t xml:space="preserve">The Government of Malawi (GoM) is currently implementing the Malawi Growth and Development Strategy (MGDS II) covering the period 2011 - 2016.  </w:t>
      </w:r>
      <w:r w:rsidR="00EB6A07">
        <w:rPr>
          <w:color w:val="000000"/>
        </w:rPr>
        <w:t>However, critical to successful implementation of the Strategy is a</w:t>
      </w:r>
      <w:r w:rsidR="00643EA9">
        <w:rPr>
          <w:color w:val="000000"/>
        </w:rPr>
        <w:t xml:space="preserve"> strong</w:t>
      </w:r>
      <w:r w:rsidR="00CF346B">
        <w:rPr>
          <w:color w:val="000000"/>
        </w:rPr>
        <w:t>, ethical</w:t>
      </w:r>
      <w:r w:rsidR="00643EA9">
        <w:rPr>
          <w:color w:val="000000"/>
        </w:rPr>
        <w:t xml:space="preserve"> </w:t>
      </w:r>
      <w:r w:rsidR="00CF346B">
        <w:rPr>
          <w:color w:val="000000"/>
        </w:rPr>
        <w:t xml:space="preserve">and professional public service.  </w:t>
      </w:r>
      <w:r w:rsidR="005B2548">
        <w:rPr>
          <w:color w:val="000000"/>
        </w:rPr>
        <w:t>D</w:t>
      </w:r>
      <w:r w:rsidR="003B37D1" w:rsidRPr="00DB1D2C">
        <w:rPr>
          <w:color w:val="000000"/>
        </w:rPr>
        <w:t xml:space="preserve">espite its limitations and constraints, </w:t>
      </w:r>
      <w:r w:rsidR="005B2548">
        <w:rPr>
          <w:color w:val="000000"/>
        </w:rPr>
        <w:t xml:space="preserve">the public service </w:t>
      </w:r>
      <w:r w:rsidR="003B37D1" w:rsidRPr="00DB1D2C">
        <w:rPr>
          <w:color w:val="000000"/>
        </w:rPr>
        <w:t>remains the main and acceptable instrument for implementation of government policies, and therefore central to the realization of government</w:t>
      </w:r>
      <w:r w:rsidR="00CF346B">
        <w:rPr>
          <w:color w:val="000000"/>
        </w:rPr>
        <w:t>’s</w:t>
      </w:r>
      <w:r w:rsidR="003B37D1" w:rsidRPr="00DB1D2C">
        <w:rPr>
          <w:color w:val="000000"/>
        </w:rPr>
        <w:t xml:space="preserve"> development goals and objectives.  </w:t>
      </w:r>
      <w:r w:rsidRPr="00DB1D2C">
        <w:rPr>
          <w:color w:val="000000"/>
        </w:rPr>
        <w:t>To achieve this, i</w:t>
      </w:r>
      <w:r w:rsidR="003B37D1" w:rsidRPr="00DB1D2C">
        <w:rPr>
          <w:bCs/>
        </w:rPr>
        <w:t xml:space="preserve">n December 2012, </w:t>
      </w:r>
      <w:r w:rsidR="00643EA9">
        <w:rPr>
          <w:bCs/>
        </w:rPr>
        <w:t>GoM</w:t>
      </w:r>
      <w:r w:rsidR="003B37D1" w:rsidRPr="00DB1D2C">
        <w:rPr>
          <w:bCs/>
        </w:rPr>
        <w:t xml:space="preserve"> and </w:t>
      </w:r>
      <w:r w:rsidR="00643EA9">
        <w:rPr>
          <w:bCs/>
        </w:rPr>
        <w:t>the United Nations Development Program (</w:t>
      </w:r>
      <w:r w:rsidR="003B37D1" w:rsidRPr="00DB1D2C">
        <w:rPr>
          <w:bCs/>
        </w:rPr>
        <w:t>UNDP</w:t>
      </w:r>
      <w:r w:rsidR="00643EA9">
        <w:rPr>
          <w:bCs/>
        </w:rPr>
        <w:t>)</w:t>
      </w:r>
      <w:r w:rsidR="003B37D1" w:rsidRPr="00DB1D2C">
        <w:rPr>
          <w:bCs/>
        </w:rPr>
        <w:t xml:space="preserve"> signed the </w:t>
      </w:r>
      <w:r w:rsidR="00BD0C6B" w:rsidRPr="00DB1D2C">
        <w:rPr>
          <w:bCs/>
        </w:rPr>
        <w:t xml:space="preserve">Public Service Capacity Development Project (PSCDP).  </w:t>
      </w:r>
    </w:p>
    <w:p w:rsidR="00394DCF" w:rsidRPr="00DB1D2C" w:rsidRDefault="00394DCF" w:rsidP="00394DCF">
      <w:pPr>
        <w:autoSpaceDE w:val="0"/>
        <w:autoSpaceDN w:val="0"/>
        <w:adjustRightInd w:val="0"/>
        <w:jc w:val="both"/>
        <w:rPr>
          <w:bCs/>
        </w:rPr>
      </w:pPr>
    </w:p>
    <w:p w:rsidR="00DE0B58" w:rsidRPr="00DB1D2C" w:rsidRDefault="003B37D1" w:rsidP="00394DCF">
      <w:pPr>
        <w:autoSpaceDE w:val="0"/>
        <w:autoSpaceDN w:val="0"/>
        <w:adjustRightInd w:val="0"/>
        <w:jc w:val="both"/>
        <w:rPr>
          <w:color w:val="000000"/>
        </w:rPr>
      </w:pPr>
      <w:r w:rsidRPr="00DB1D2C">
        <w:rPr>
          <w:bCs/>
        </w:rPr>
        <w:t>The Project was designed from the larger Public Sector Management Reforms and Capacity Development Prog</w:t>
      </w:r>
      <w:r w:rsidR="00643EA9">
        <w:rPr>
          <w:bCs/>
        </w:rPr>
        <w:t>ram (PSMRCDP) Support Document</w:t>
      </w:r>
      <w:r w:rsidR="00A60D1E">
        <w:rPr>
          <w:bCs/>
        </w:rPr>
        <w:t xml:space="preserve"> prepared by the Government</w:t>
      </w:r>
      <w:r w:rsidR="00643EA9">
        <w:rPr>
          <w:bCs/>
        </w:rPr>
        <w:t xml:space="preserve">.  </w:t>
      </w:r>
      <w:r w:rsidR="00643EA9">
        <w:rPr>
          <w:color w:val="000000"/>
        </w:rPr>
        <w:t xml:space="preserve">Building on </w:t>
      </w:r>
      <w:r w:rsidRPr="00DB1D2C">
        <w:rPr>
          <w:color w:val="000000"/>
        </w:rPr>
        <w:t>past interventions</w:t>
      </w:r>
      <w:r w:rsidR="00643EA9">
        <w:rPr>
          <w:color w:val="000000"/>
        </w:rPr>
        <w:t xml:space="preserve"> and achievements</w:t>
      </w:r>
      <w:r w:rsidRPr="00DB1D2C">
        <w:rPr>
          <w:color w:val="000000"/>
        </w:rPr>
        <w:t>, this Project seeks to strengthen the capacity of the public service to bett</w:t>
      </w:r>
      <w:r w:rsidR="00643EA9">
        <w:rPr>
          <w:color w:val="000000"/>
        </w:rPr>
        <w:t xml:space="preserve">er manage and deliver services.  </w:t>
      </w:r>
      <w:r w:rsidRPr="00DB1D2C">
        <w:rPr>
          <w:color w:val="000000"/>
        </w:rPr>
        <w:t>Thi</w:t>
      </w:r>
      <w:r w:rsidR="006D53EF" w:rsidRPr="00DB1D2C">
        <w:rPr>
          <w:color w:val="000000"/>
        </w:rPr>
        <w:t xml:space="preserve">s </w:t>
      </w:r>
      <w:r w:rsidR="00A60D1E">
        <w:rPr>
          <w:color w:val="000000"/>
        </w:rPr>
        <w:t xml:space="preserve">is being </w:t>
      </w:r>
      <w:r w:rsidR="006D53EF" w:rsidRPr="00DB1D2C">
        <w:rPr>
          <w:color w:val="000000"/>
        </w:rPr>
        <w:t xml:space="preserve">achieved through </w:t>
      </w:r>
      <w:r w:rsidRPr="00DB1D2C">
        <w:rPr>
          <w:color w:val="000000"/>
        </w:rPr>
        <w:t>review and implementation of policies, rules and regulations that support efficient public service delivery;</w:t>
      </w:r>
      <w:r w:rsidR="006D53EF" w:rsidRPr="00DB1D2C">
        <w:rPr>
          <w:color w:val="000000"/>
        </w:rPr>
        <w:t xml:space="preserve"> </w:t>
      </w:r>
      <w:r w:rsidRPr="00DB1D2C">
        <w:rPr>
          <w:color w:val="000000"/>
        </w:rPr>
        <w:t>increasing leadership</w:t>
      </w:r>
      <w:r w:rsidR="00A60D1E">
        <w:rPr>
          <w:color w:val="000000"/>
        </w:rPr>
        <w:t xml:space="preserve"> and </w:t>
      </w:r>
      <w:r w:rsidRPr="00DB1D2C">
        <w:rPr>
          <w:color w:val="000000"/>
        </w:rPr>
        <w:t xml:space="preserve">management skills, competencies and ethical values to drive the national development agenda; strengthening human resource planning and management capacities in the different </w:t>
      </w:r>
      <w:r w:rsidR="00DB1D2C" w:rsidRPr="00DB1D2C">
        <w:rPr>
          <w:color w:val="000000"/>
        </w:rPr>
        <w:t>ministries, departments and agencies (</w:t>
      </w:r>
      <w:r w:rsidRPr="00DB1D2C">
        <w:rPr>
          <w:color w:val="000000"/>
        </w:rPr>
        <w:t>MDAs</w:t>
      </w:r>
      <w:r w:rsidR="00DB1D2C" w:rsidRPr="00DB1D2C">
        <w:rPr>
          <w:color w:val="000000"/>
        </w:rPr>
        <w:t>)</w:t>
      </w:r>
      <w:r w:rsidRPr="00DB1D2C">
        <w:rPr>
          <w:color w:val="000000"/>
        </w:rPr>
        <w:t xml:space="preserve"> within the public service; and promoting innovative and integrated application of </w:t>
      </w:r>
      <w:r w:rsidR="00DB1D2C" w:rsidRPr="00DB1D2C">
        <w:rPr>
          <w:color w:val="000000"/>
        </w:rPr>
        <w:t>information communication and technology (</w:t>
      </w:r>
      <w:r w:rsidRPr="00DB1D2C">
        <w:rPr>
          <w:color w:val="000000"/>
        </w:rPr>
        <w:t>ICT</w:t>
      </w:r>
      <w:r w:rsidR="00DB1D2C" w:rsidRPr="00DB1D2C">
        <w:rPr>
          <w:color w:val="000000"/>
        </w:rPr>
        <w:t>)</w:t>
      </w:r>
      <w:r w:rsidRPr="00DB1D2C">
        <w:rPr>
          <w:color w:val="000000"/>
        </w:rPr>
        <w:t xml:space="preserve"> within public service. </w:t>
      </w:r>
      <w:r w:rsidR="00643EA9">
        <w:rPr>
          <w:color w:val="000000"/>
        </w:rPr>
        <w:t>To this end, t</w:t>
      </w:r>
      <w:r w:rsidR="00DE0B58" w:rsidRPr="00DB1D2C">
        <w:rPr>
          <w:bCs/>
        </w:rPr>
        <w:t>h</w:t>
      </w:r>
      <w:r w:rsidRPr="00DB1D2C">
        <w:rPr>
          <w:bCs/>
        </w:rPr>
        <w:t xml:space="preserve">e Project has </w:t>
      </w:r>
      <w:r w:rsidR="00DE0B58" w:rsidRPr="00DB1D2C">
        <w:rPr>
          <w:bCs/>
        </w:rPr>
        <w:t xml:space="preserve">five </w:t>
      </w:r>
      <w:r w:rsidRPr="00DB1D2C">
        <w:rPr>
          <w:bCs/>
        </w:rPr>
        <w:t>o</w:t>
      </w:r>
      <w:r w:rsidR="00DE0B58" w:rsidRPr="00DB1D2C">
        <w:rPr>
          <w:bCs/>
        </w:rPr>
        <w:t>utputs:</w:t>
      </w:r>
    </w:p>
    <w:p w:rsidR="00DE0B58" w:rsidRPr="00DB1D2C" w:rsidRDefault="00DE0B58" w:rsidP="00BD0C6B">
      <w:pPr>
        <w:jc w:val="both"/>
        <w:rPr>
          <w:bCs/>
        </w:rPr>
      </w:pPr>
    </w:p>
    <w:p w:rsidR="000366D6" w:rsidRPr="00DB1D2C" w:rsidRDefault="00DE0B58" w:rsidP="000366D6">
      <w:pPr>
        <w:pStyle w:val="ListParagraph"/>
        <w:numPr>
          <w:ilvl w:val="0"/>
          <w:numId w:val="3"/>
        </w:numPr>
        <w:ind w:left="720" w:hanging="540"/>
        <w:jc w:val="both"/>
        <w:rPr>
          <w:rFonts w:ascii="Times New Roman" w:hAnsi="Times New Roman"/>
          <w:bCs/>
          <w:sz w:val="24"/>
          <w:szCs w:val="24"/>
        </w:rPr>
      </w:pPr>
      <w:r w:rsidRPr="00DB1D2C">
        <w:rPr>
          <w:rFonts w:ascii="Times New Roman" w:hAnsi="Times New Roman"/>
          <w:b/>
          <w:bCs/>
          <w:sz w:val="24"/>
          <w:szCs w:val="24"/>
        </w:rPr>
        <w:t>Output 1:</w:t>
      </w:r>
      <w:r w:rsidRPr="00DB1D2C">
        <w:rPr>
          <w:rFonts w:ascii="Times New Roman" w:hAnsi="Times New Roman"/>
          <w:bCs/>
          <w:sz w:val="24"/>
          <w:szCs w:val="24"/>
        </w:rPr>
        <w:t xml:space="preserve">  </w:t>
      </w:r>
      <w:r w:rsidR="00555B51" w:rsidRPr="00DB1D2C">
        <w:rPr>
          <w:rFonts w:ascii="Times New Roman" w:hAnsi="Times New Roman"/>
          <w:bCs/>
          <w:sz w:val="24"/>
          <w:szCs w:val="24"/>
        </w:rPr>
        <w:t>Public service policies, regulations, strategies and guidelines revised to enhance service delivery</w:t>
      </w:r>
      <w:r w:rsidRPr="00DB1D2C">
        <w:rPr>
          <w:rFonts w:ascii="Times New Roman" w:hAnsi="Times New Roman"/>
          <w:bCs/>
          <w:sz w:val="24"/>
          <w:szCs w:val="24"/>
        </w:rPr>
        <w:t>;</w:t>
      </w:r>
    </w:p>
    <w:p w:rsidR="000366D6" w:rsidRPr="00DB1D2C" w:rsidRDefault="00DE0B58" w:rsidP="000366D6">
      <w:pPr>
        <w:pStyle w:val="ListParagraph"/>
        <w:numPr>
          <w:ilvl w:val="0"/>
          <w:numId w:val="3"/>
        </w:numPr>
        <w:ind w:left="720" w:hanging="540"/>
        <w:jc w:val="both"/>
        <w:rPr>
          <w:rFonts w:ascii="Times New Roman" w:hAnsi="Times New Roman"/>
          <w:bCs/>
          <w:sz w:val="24"/>
          <w:szCs w:val="24"/>
        </w:rPr>
      </w:pPr>
      <w:r w:rsidRPr="00DB1D2C">
        <w:rPr>
          <w:rFonts w:ascii="Times New Roman" w:hAnsi="Times New Roman"/>
          <w:b/>
          <w:bCs/>
          <w:sz w:val="24"/>
          <w:szCs w:val="24"/>
        </w:rPr>
        <w:t>Output 2:</w:t>
      </w:r>
      <w:r w:rsidRPr="00DB1D2C">
        <w:rPr>
          <w:rFonts w:ascii="Times New Roman" w:hAnsi="Times New Roman"/>
          <w:bCs/>
          <w:sz w:val="24"/>
          <w:szCs w:val="24"/>
        </w:rPr>
        <w:t xml:space="preserve"> </w:t>
      </w:r>
      <w:r w:rsidR="00555B51" w:rsidRPr="00DB1D2C">
        <w:rPr>
          <w:rFonts w:ascii="Times New Roman" w:hAnsi="Times New Roman"/>
          <w:bCs/>
          <w:sz w:val="24"/>
          <w:szCs w:val="24"/>
        </w:rPr>
        <w:t>Public service leadership and management skills and competencies, values, ethics and integrity enhanced for efficient and effective service delivery</w:t>
      </w:r>
      <w:r w:rsidR="000366D6" w:rsidRPr="00DB1D2C">
        <w:rPr>
          <w:rFonts w:ascii="Times New Roman" w:hAnsi="Times New Roman"/>
          <w:bCs/>
          <w:sz w:val="24"/>
          <w:szCs w:val="24"/>
        </w:rPr>
        <w:t>;</w:t>
      </w:r>
    </w:p>
    <w:p w:rsidR="000366D6" w:rsidRPr="00DB1D2C" w:rsidRDefault="00DE0B58" w:rsidP="000366D6">
      <w:pPr>
        <w:pStyle w:val="ListParagraph"/>
        <w:numPr>
          <w:ilvl w:val="0"/>
          <w:numId w:val="3"/>
        </w:numPr>
        <w:ind w:left="720" w:hanging="540"/>
        <w:jc w:val="both"/>
        <w:rPr>
          <w:rFonts w:ascii="Times New Roman" w:hAnsi="Times New Roman"/>
          <w:bCs/>
          <w:sz w:val="24"/>
          <w:szCs w:val="24"/>
        </w:rPr>
      </w:pPr>
      <w:r w:rsidRPr="00DB1D2C">
        <w:rPr>
          <w:rFonts w:ascii="Times New Roman" w:hAnsi="Times New Roman"/>
          <w:b/>
          <w:bCs/>
          <w:sz w:val="24"/>
          <w:szCs w:val="24"/>
        </w:rPr>
        <w:t>Output 3:</w:t>
      </w:r>
      <w:r w:rsidRPr="00DB1D2C">
        <w:rPr>
          <w:rFonts w:ascii="Times New Roman" w:hAnsi="Times New Roman"/>
          <w:bCs/>
          <w:sz w:val="24"/>
          <w:szCs w:val="24"/>
        </w:rPr>
        <w:t xml:space="preserve"> </w:t>
      </w:r>
      <w:r w:rsidR="00555B51" w:rsidRPr="00DB1D2C">
        <w:rPr>
          <w:rFonts w:ascii="Times New Roman" w:hAnsi="Times New Roman"/>
          <w:bCs/>
          <w:sz w:val="24"/>
          <w:szCs w:val="24"/>
        </w:rPr>
        <w:t xml:space="preserve">Human resource </w:t>
      </w:r>
      <w:r w:rsidRPr="00DB1D2C">
        <w:rPr>
          <w:rFonts w:ascii="Times New Roman" w:hAnsi="Times New Roman"/>
          <w:bCs/>
          <w:sz w:val="24"/>
          <w:szCs w:val="24"/>
        </w:rPr>
        <w:t xml:space="preserve">planning and management </w:t>
      </w:r>
      <w:r w:rsidR="00555B51" w:rsidRPr="00DB1D2C">
        <w:rPr>
          <w:rFonts w:ascii="Times New Roman" w:hAnsi="Times New Roman"/>
          <w:bCs/>
          <w:sz w:val="24"/>
          <w:szCs w:val="24"/>
        </w:rPr>
        <w:t>enhanced to improve recruitment and promotion systems within the public service</w:t>
      </w:r>
      <w:r w:rsidRPr="00DB1D2C">
        <w:rPr>
          <w:rFonts w:ascii="Times New Roman" w:hAnsi="Times New Roman"/>
          <w:bCs/>
          <w:sz w:val="24"/>
          <w:szCs w:val="24"/>
        </w:rPr>
        <w:t>;</w:t>
      </w:r>
    </w:p>
    <w:p w:rsidR="000366D6" w:rsidRPr="00DB1D2C" w:rsidRDefault="00DE0B58" w:rsidP="000366D6">
      <w:pPr>
        <w:pStyle w:val="ListParagraph"/>
        <w:numPr>
          <w:ilvl w:val="0"/>
          <w:numId w:val="3"/>
        </w:numPr>
        <w:ind w:left="720" w:hanging="540"/>
        <w:jc w:val="both"/>
        <w:rPr>
          <w:rFonts w:ascii="Times New Roman" w:hAnsi="Times New Roman"/>
          <w:bCs/>
          <w:sz w:val="24"/>
          <w:szCs w:val="24"/>
        </w:rPr>
      </w:pPr>
      <w:r w:rsidRPr="00DB1D2C">
        <w:rPr>
          <w:rFonts w:ascii="Times New Roman" w:hAnsi="Times New Roman"/>
          <w:b/>
          <w:bCs/>
          <w:sz w:val="24"/>
          <w:szCs w:val="24"/>
        </w:rPr>
        <w:t>Output 4:</w:t>
      </w:r>
      <w:r w:rsidR="00555B51" w:rsidRPr="00DB1D2C">
        <w:rPr>
          <w:rFonts w:ascii="Times New Roman" w:hAnsi="Times New Roman"/>
          <w:bCs/>
          <w:sz w:val="24"/>
          <w:szCs w:val="24"/>
        </w:rPr>
        <w:t xml:space="preserve"> Information communication technology and e-government policy and standards strengthened for increased public service application</w:t>
      </w:r>
      <w:r w:rsidRPr="00DB1D2C">
        <w:rPr>
          <w:rFonts w:ascii="Times New Roman" w:hAnsi="Times New Roman"/>
          <w:bCs/>
          <w:sz w:val="24"/>
          <w:szCs w:val="24"/>
        </w:rPr>
        <w:t>; and</w:t>
      </w:r>
    </w:p>
    <w:p w:rsidR="00DE0B58" w:rsidRPr="00DB1D2C" w:rsidRDefault="00DE0B58" w:rsidP="000366D6">
      <w:pPr>
        <w:pStyle w:val="ListParagraph"/>
        <w:numPr>
          <w:ilvl w:val="0"/>
          <w:numId w:val="3"/>
        </w:numPr>
        <w:ind w:left="720" w:hanging="540"/>
        <w:jc w:val="both"/>
        <w:rPr>
          <w:rFonts w:ascii="Times New Roman" w:hAnsi="Times New Roman"/>
          <w:bCs/>
          <w:sz w:val="24"/>
          <w:szCs w:val="24"/>
        </w:rPr>
      </w:pPr>
      <w:r w:rsidRPr="00DB1D2C">
        <w:rPr>
          <w:rFonts w:ascii="Times New Roman" w:hAnsi="Times New Roman"/>
          <w:b/>
          <w:bCs/>
          <w:sz w:val="24"/>
          <w:szCs w:val="24"/>
        </w:rPr>
        <w:t>Output 5:</w:t>
      </w:r>
      <w:r w:rsidRPr="00DB1D2C">
        <w:rPr>
          <w:rFonts w:ascii="Times New Roman" w:hAnsi="Times New Roman"/>
          <w:bCs/>
          <w:sz w:val="24"/>
          <w:szCs w:val="24"/>
        </w:rPr>
        <w:t xml:space="preserve">  Project management and coordination.</w:t>
      </w:r>
    </w:p>
    <w:p w:rsidR="000366D6" w:rsidRPr="00DB1D2C" w:rsidRDefault="004A1F4D" w:rsidP="000366D6">
      <w:pPr>
        <w:jc w:val="both"/>
        <w:rPr>
          <w:bCs/>
          <w:color w:val="000000"/>
          <w:lang w:val="en-GB"/>
        </w:rPr>
      </w:pPr>
      <w:r w:rsidRPr="00DB1D2C">
        <w:rPr>
          <w:color w:val="000000"/>
        </w:rPr>
        <w:t xml:space="preserve">The Project is </w:t>
      </w:r>
      <w:r w:rsidR="006A5AA9">
        <w:rPr>
          <w:color w:val="000000"/>
        </w:rPr>
        <w:t xml:space="preserve">well </w:t>
      </w:r>
      <w:r w:rsidRPr="00DB1D2C">
        <w:rPr>
          <w:color w:val="000000"/>
        </w:rPr>
        <w:t xml:space="preserve">aligned to Themes 5 </w:t>
      </w:r>
      <w:r w:rsidR="000366D6" w:rsidRPr="00DB1D2C">
        <w:rPr>
          <w:color w:val="000000"/>
        </w:rPr>
        <w:t>(Improved Governance),</w:t>
      </w:r>
      <w:r w:rsidRPr="00DB1D2C">
        <w:rPr>
          <w:color w:val="000000"/>
        </w:rPr>
        <w:t xml:space="preserve"> Sub-Theme 4 (Public Sector Management) and Theme 6 (Cross-Cutting Issues), Sub-Theme 2 (Capacity Development) of </w:t>
      </w:r>
      <w:r w:rsidR="00DB1D2C" w:rsidRPr="00DB1D2C">
        <w:rPr>
          <w:color w:val="000000"/>
        </w:rPr>
        <w:t>M</w:t>
      </w:r>
      <w:r w:rsidRPr="00DB1D2C">
        <w:rPr>
          <w:color w:val="000000"/>
        </w:rPr>
        <w:t>GDS II.  Under these Thematic Areas, the overall Government’s goal is to deliver services to the public in an efficient, demand driven and effective manner.  Th</w:t>
      </w:r>
      <w:r w:rsidR="000366D6" w:rsidRPr="00DB1D2C">
        <w:rPr>
          <w:color w:val="000000"/>
        </w:rPr>
        <w:t xml:space="preserve">e </w:t>
      </w:r>
      <w:r w:rsidR="000366D6" w:rsidRPr="00DB1D2C">
        <w:rPr>
          <w:color w:val="000000"/>
        </w:rPr>
        <w:lastRenderedPageBreak/>
        <w:t>Pr</w:t>
      </w:r>
      <w:r w:rsidRPr="00DB1D2C">
        <w:rPr>
          <w:color w:val="000000"/>
        </w:rPr>
        <w:t xml:space="preserve">oject </w:t>
      </w:r>
      <w:r w:rsidR="000366D6" w:rsidRPr="00DB1D2C">
        <w:rPr>
          <w:color w:val="000000"/>
        </w:rPr>
        <w:t xml:space="preserve">also </w:t>
      </w:r>
      <w:r w:rsidRPr="00DB1D2C">
        <w:rPr>
          <w:color w:val="000000"/>
        </w:rPr>
        <w:t>contributes to U</w:t>
      </w:r>
      <w:r w:rsidR="000366D6" w:rsidRPr="00DB1D2C">
        <w:rPr>
          <w:color w:val="000000"/>
        </w:rPr>
        <w:t>nited Nations Development Assistance Framework Action Plan (U</w:t>
      </w:r>
      <w:r w:rsidRPr="00DB1D2C">
        <w:rPr>
          <w:color w:val="000000"/>
        </w:rPr>
        <w:t>NDAF</w:t>
      </w:r>
      <w:r w:rsidR="000366D6" w:rsidRPr="00DB1D2C">
        <w:rPr>
          <w:color w:val="000000"/>
        </w:rPr>
        <w:t>-AP)</w:t>
      </w:r>
      <w:r w:rsidRPr="00DB1D2C">
        <w:rPr>
          <w:color w:val="000000"/>
        </w:rPr>
        <w:t xml:space="preserve"> Outcome 4.2</w:t>
      </w:r>
      <w:r w:rsidR="000366D6" w:rsidRPr="00DB1D2C">
        <w:rPr>
          <w:color w:val="000000"/>
        </w:rPr>
        <w:t>:</w:t>
      </w:r>
      <w:r w:rsidRPr="00DB1D2C">
        <w:rPr>
          <w:color w:val="000000"/>
        </w:rPr>
        <w:t xml:space="preserve"> </w:t>
      </w:r>
      <w:r w:rsidRPr="00DB1D2C">
        <w:rPr>
          <w:bCs/>
          <w:color w:val="000000"/>
          <w:lang w:val="en-GB"/>
        </w:rPr>
        <w:t xml:space="preserve">Public institutions are better able to manage, allocate and utilize resources for effective development and service delivery by 2016, Output 4.2.1: </w:t>
      </w:r>
      <w:r w:rsidRPr="00DB1D2C">
        <w:rPr>
          <w:bCs/>
          <w:lang w:val="en-GB"/>
        </w:rPr>
        <w:t>Capacity for public sector management strengthened for effective service delivery.</w:t>
      </w:r>
    </w:p>
    <w:p w:rsidR="000366D6" w:rsidRPr="00DB1D2C" w:rsidRDefault="000366D6" w:rsidP="000366D6">
      <w:pPr>
        <w:jc w:val="both"/>
        <w:rPr>
          <w:bCs/>
          <w:color w:val="000000"/>
          <w:lang w:val="en-GB"/>
        </w:rPr>
      </w:pPr>
    </w:p>
    <w:p w:rsidR="000366D6" w:rsidRPr="00DB1D2C" w:rsidRDefault="000366D6" w:rsidP="000366D6">
      <w:pPr>
        <w:tabs>
          <w:tab w:val="num" w:pos="360"/>
        </w:tabs>
        <w:jc w:val="both"/>
      </w:pPr>
      <w:r w:rsidRPr="00DB1D2C">
        <w:rPr>
          <w:bCs/>
        </w:rPr>
        <w:t>The overall responsibility of implementing the Project rests with the Office of the President and Cabinet (OPC), specifically, the Public Sector Reform</w:t>
      </w:r>
      <w:r w:rsidR="00B267C2" w:rsidRPr="00DB1D2C">
        <w:rPr>
          <w:bCs/>
        </w:rPr>
        <w:t xml:space="preserve">s and Management Unit (PSRMU).  </w:t>
      </w:r>
      <w:r w:rsidR="00C305DA">
        <w:rPr>
          <w:bCs/>
        </w:rPr>
        <w:t>However, i</w:t>
      </w:r>
      <w:r w:rsidRPr="00DB1D2C">
        <w:rPr>
          <w:bCs/>
        </w:rPr>
        <w:t xml:space="preserve">mplementation of specific capacity development strategies </w:t>
      </w:r>
      <w:r w:rsidR="00C305DA">
        <w:rPr>
          <w:bCs/>
        </w:rPr>
        <w:t xml:space="preserve">and/or activities </w:t>
      </w:r>
      <w:r w:rsidR="00B61CE6">
        <w:rPr>
          <w:bCs/>
        </w:rPr>
        <w:t xml:space="preserve">falls under </w:t>
      </w:r>
      <w:r w:rsidRPr="00DB1D2C">
        <w:rPr>
          <w:bCs/>
        </w:rPr>
        <w:t>responsible parties (RPs), which include</w:t>
      </w:r>
      <w:r w:rsidR="00C305DA">
        <w:rPr>
          <w:bCs/>
        </w:rPr>
        <w:t>s</w:t>
      </w:r>
      <w:r w:rsidRPr="00DB1D2C">
        <w:rPr>
          <w:bCs/>
        </w:rPr>
        <w:t xml:space="preserve"> </w:t>
      </w:r>
      <w:r w:rsidRPr="00DB1D2C">
        <w:t>Department of Human Resource Management and Development (DHRMD), Public Service Commission (PSC), Department of Information Service Technology and Management Systems (DISTMS), Malawi Institute of Management (MIM), St</w:t>
      </w:r>
      <w:r w:rsidR="00B61CE6">
        <w:t>aff Development Institute (SDI) and The</w:t>
      </w:r>
      <w:r w:rsidRPr="00DB1D2C">
        <w:t xml:space="preserve"> University of Malawi (The Polytechnic and Chancellor College).</w:t>
      </w:r>
    </w:p>
    <w:p w:rsidR="000366D6" w:rsidRPr="00DB1D2C" w:rsidRDefault="000366D6" w:rsidP="000366D6">
      <w:pPr>
        <w:jc w:val="both"/>
      </w:pPr>
    </w:p>
    <w:p w:rsidR="00CD404C" w:rsidRPr="00DB1D2C" w:rsidRDefault="00130804" w:rsidP="000366D6">
      <w:pPr>
        <w:jc w:val="both"/>
        <w:rPr>
          <w:color w:val="000000"/>
        </w:rPr>
      </w:pPr>
      <w:r w:rsidRPr="00DB1D2C">
        <w:t xml:space="preserve">Key achievements during </w:t>
      </w:r>
      <w:r w:rsidR="00CA5CE8" w:rsidRPr="00DB1D2C">
        <w:t xml:space="preserve">the reporting period included conducting ethics, integrity and professionalism training for senior officers </w:t>
      </w:r>
      <w:r w:rsidR="00BD0C6B" w:rsidRPr="00DB1D2C">
        <w:rPr>
          <w:color w:val="000000"/>
        </w:rPr>
        <w:t>to enable all arms of government to interpret code of conduct and apply moral legitimacy in their day-to-day practices</w:t>
      </w:r>
      <w:r w:rsidR="00CA5CE8" w:rsidRPr="00DB1D2C">
        <w:rPr>
          <w:color w:val="000000"/>
        </w:rPr>
        <w:t xml:space="preserve"> within the public s</w:t>
      </w:r>
      <w:r w:rsidR="00BD0C6B" w:rsidRPr="00DB1D2C">
        <w:rPr>
          <w:color w:val="000000"/>
        </w:rPr>
        <w:t xml:space="preserve">ervice.  </w:t>
      </w:r>
      <w:r w:rsidR="00CA5CE8" w:rsidRPr="00DB1D2C">
        <w:rPr>
          <w:color w:val="000000"/>
        </w:rPr>
        <w:t xml:space="preserve">Through USAID, a review of the past public service reform activities was </w:t>
      </w:r>
      <w:r w:rsidR="00C305DA">
        <w:rPr>
          <w:color w:val="000000"/>
        </w:rPr>
        <w:t>carried out</w:t>
      </w:r>
      <w:r w:rsidR="00CA5CE8" w:rsidRPr="00DB1D2C">
        <w:rPr>
          <w:color w:val="000000"/>
        </w:rPr>
        <w:t xml:space="preserve"> to inform the new program which aimed at bringing together pub</w:t>
      </w:r>
      <w:r w:rsidR="00C305DA">
        <w:rPr>
          <w:color w:val="000000"/>
        </w:rPr>
        <w:t xml:space="preserve">lic service reforms with Public </w:t>
      </w:r>
      <w:r w:rsidR="00CA5CE8" w:rsidRPr="00DB1D2C">
        <w:rPr>
          <w:color w:val="000000"/>
        </w:rPr>
        <w:t xml:space="preserve"> Finance and Economic Management (PFEM) Reforms.  Support was also given to PSRC to undertake widespread consultations with stakeholders on the required reform activities</w:t>
      </w:r>
      <w:r w:rsidR="00025D15" w:rsidRPr="00DB1D2C">
        <w:rPr>
          <w:color w:val="000000"/>
        </w:rPr>
        <w:t xml:space="preserve">.  In addition, </w:t>
      </w:r>
      <w:r w:rsidR="00CA5CE8" w:rsidRPr="00DB1D2C">
        <w:rPr>
          <w:color w:val="000000"/>
        </w:rPr>
        <w:t>the Commission undertook benchmarking tour to Uganda, United Kingdom and Singapore to learn from best practices</w:t>
      </w:r>
      <w:r w:rsidR="00025D15" w:rsidRPr="00DB1D2C">
        <w:rPr>
          <w:color w:val="000000"/>
        </w:rPr>
        <w:t xml:space="preserve">.  The end result is a report that will feed into an Action Plan.  </w:t>
      </w:r>
    </w:p>
    <w:p w:rsidR="00CD404C" w:rsidRPr="00DB1D2C" w:rsidRDefault="00CD404C" w:rsidP="000366D6">
      <w:pPr>
        <w:jc w:val="both"/>
        <w:rPr>
          <w:color w:val="000000"/>
        </w:rPr>
      </w:pPr>
    </w:p>
    <w:p w:rsidR="00C305DA" w:rsidRPr="00C305DA" w:rsidRDefault="00025D15" w:rsidP="00C305DA">
      <w:pPr>
        <w:jc w:val="both"/>
      </w:pPr>
      <w:r w:rsidRPr="00C305DA">
        <w:rPr>
          <w:color w:val="000000"/>
        </w:rPr>
        <w:t xml:space="preserve">The Project also supported a retreat for Principal Secretaries </w:t>
      </w:r>
      <w:r w:rsidR="00DF6421" w:rsidRPr="00C305DA">
        <w:rPr>
          <w:color w:val="000000"/>
        </w:rPr>
        <w:t xml:space="preserve">and Heads of Independent and Governance Institutions </w:t>
      </w:r>
      <w:r w:rsidRPr="00C305DA">
        <w:rPr>
          <w:color w:val="000000"/>
        </w:rPr>
        <w:t xml:space="preserve">aimed at </w:t>
      </w:r>
      <w:r w:rsidR="00DF6421" w:rsidRPr="00C305DA">
        <w:rPr>
          <w:color w:val="000000"/>
        </w:rPr>
        <w:t xml:space="preserve">providing an </w:t>
      </w:r>
      <w:r w:rsidR="00DF6421" w:rsidRPr="00C305DA">
        <w:rPr>
          <w:bCs/>
        </w:rPr>
        <w:t>update these senior officials on the rationale of the Public Service Reform Program.</w:t>
      </w:r>
      <w:r w:rsidR="00BD0C6B" w:rsidRPr="00C305DA">
        <w:rPr>
          <w:color w:val="000000"/>
        </w:rPr>
        <w:t xml:space="preserve"> </w:t>
      </w:r>
      <w:r w:rsidR="00C305DA" w:rsidRPr="00C305DA">
        <w:rPr>
          <w:color w:val="000000"/>
        </w:rPr>
        <w:t xml:space="preserve"> The theme of the Retreat was: </w:t>
      </w:r>
      <w:r w:rsidR="00C305DA" w:rsidRPr="00C305DA">
        <w:rPr>
          <w:i/>
        </w:rPr>
        <w:t xml:space="preserve">“Leading for Results: </w:t>
      </w:r>
      <w:r w:rsidR="00C305DA" w:rsidRPr="00C305DA">
        <w:t xml:space="preserve"> </w:t>
      </w:r>
      <w:r w:rsidR="00C305DA" w:rsidRPr="00C305DA">
        <w:rPr>
          <w:i/>
        </w:rPr>
        <w:t>The Critical Role of the Principal Secretary, Head of Constitutional and Independent Body”</w:t>
      </w:r>
      <w:r w:rsidR="00C305DA" w:rsidRPr="00C305DA">
        <w:t>.</w:t>
      </w:r>
    </w:p>
    <w:p w:rsidR="00BD0C6B" w:rsidRPr="00DB1D2C" w:rsidRDefault="00BD0C6B" w:rsidP="000366D6">
      <w:pPr>
        <w:jc w:val="both"/>
        <w:rPr>
          <w:color w:val="000000"/>
        </w:rPr>
      </w:pPr>
    </w:p>
    <w:p w:rsidR="0064331F" w:rsidRPr="0068532D" w:rsidRDefault="00110308" w:rsidP="00EC0938">
      <w:pPr>
        <w:pStyle w:val="ListParagraph"/>
        <w:numPr>
          <w:ilvl w:val="0"/>
          <w:numId w:val="19"/>
        </w:numPr>
        <w:spacing w:after="0" w:line="240" w:lineRule="auto"/>
        <w:rPr>
          <w:sz w:val="24"/>
          <w:szCs w:val="24"/>
        </w:rPr>
      </w:pPr>
      <w:r w:rsidRPr="00DB1D2C">
        <w:rPr>
          <w:rFonts w:ascii="Times New Roman" w:hAnsi="Times New Roman"/>
          <w:b/>
          <w:sz w:val="24"/>
          <w:szCs w:val="24"/>
        </w:rPr>
        <w:t>Assessment</w:t>
      </w:r>
      <w:r w:rsidR="00EC25EA" w:rsidRPr="00DB1D2C">
        <w:rPr>
          <w:rFonts w:ascii="Times New Roman" w:hAnsi="Times New Roman"/>
          <w:b/>
          <w:sz w:val="24"/>
          <w:szCs w:val="24"/>
        </w:rPr>
        <w:t xml:space="preserve"> of Project Results</w:t>
      </w:r>
      <w:r w:rsidR="00DA1C24" w:rsidRPr="00DB1D2C">
        <w:rPr>
          <w:rFonts w:ascii="Times New Roman" w:hAnsi="Times New Roman"/>
          <w:b/>
          <w:sz w:val="24"/>
          <w:szCs w:val="24"/>
        </w:rPr>
        <w:t xml:space="preserve"> During the Reporting Period</w:t>
      </w:r>
      <w:r w:rsidR="00DA1C24" w:rsidRPr="00DB1D2C">
        <w:rPr>
          <w:rFonts w:ascii="Times New Roman" w:hAnsi="Times New Roman"/>
          <w:sz w:val="24"/>
          <w:szCs w:val="24"/>
        </w:rPr>
        <w:t xml:space="preserve"> </w:t>
      </w:r>
    </w:p>
    <w:p w:rsidR="0068532D" w:rsidRPr="0068532D" w:rsidRDefault="0068532D" w:rsidP="0068532D">
      <w:pPr>
        <w:pStyle w:val="ListParagraph"/>
        <w:spacing w:after="0" w:line="240" w:lineRule="auto"/>
        <w:ind w:left="360"/>
        <w:rPr>
          <w:sz w:val="24"/>
          <w:szCs w:val="24"/>
        </w:rPr>
      </w:pPr>
    </w:p>
    <w:p w:rsidR="0068532D" w:rsidRPr="0068532D" w:rsidRDefault="0068532D" w:rsidP="0068532D">
      <w:pPr>
        <w:rPr>
          <w:b/>
        </w:rPr>
      </w:pPr>
      <w:r w:rsidRPr="0068532D">
        <w:rPr>
          <w:b/>
        </w:rPr>
        <w:t>B.1</w:t>
      </w:r>
      <w:r w:rsidRPr="0068532D">
        <w:rPr>
          <w:b/>
        </w:rPr>
        <w:tab/>
        <w:t>Progress to Achieving Outputs</w:t>
      </w:r>
    </w:p>
    <w:p w:rsidR="00C305DA" w:rsidRDefault="00C305DA" w:rsidP="00C305DA"/>
    <w:p w:rsidR="00C305DA" w:rsidRPr="00C305DA" w:rsidRDefault="00C305DA" w:rsidP="00C305DA">
      <w:r w:rsidRPr="00C305DA">
        <w:t xml:space="preserve">Broadly, </w:t>
      </w:r>
      <w:r>
        <w:t xml:space="preserve">the Project met most of its intended </w:t>
      </w:r>
      <w:r w:rsidR="00B73D30">
        <w:t>targets results</w:t>
      </w:r>
      <w:r>
        <w:t xml:space="preserve"> during the reporting period.  Below is an assessment of progress by output </w:t>
      </w:r>
      <w:r w:rsidR="00C50CE6">
        <w:t xml:space="preserve">towards results using rating criteria of </w:t>
      </w:r>
      <w:r w:rsidR="00C50CE6" w:rsidRPr="00C50CE6">
        <w:rPr>
          <w:i/>
        </w:rPr>
        <w:t>fully</w:t>
      </w:r>
      <w:r w:rsidR="00B73D30">
        <w:rPr>
          <w:i/>
        </w:rPr>
        <w:t xml:space="preserve"> achieved</w:t>
      </w:r>
      <w:r w:rsidR="00C50CE6" w:rsidRPr="00C50CE6">
        <w:rPr>
          <w:i/>
        </w:rPr>
        <w:t>, partially</w:t>
      </w:r>
      <w:r w:rsidR="00B73D30">
        <w:rPr>
          <w:i/>
        </w:rPr>
        <w:t xml:space="preserve"> achieved and </w:t>
      </w:r>
      <w:r w:rsidR="00C50CE6" w:rsidRPr="00C50CE6">
        <w:rPr>
          <w:i/>
        </w:rPr>
        <w:t>not achieved</w:t>
      </w:r>
      <w:r w:rsidR="00C50CE6">
        <w:t>.</w:t>
      </w:r>
    </w:p>
    <w:p w:rsidR="0068532D" w:rsidRDefault="0068532D" w:rsidP="007E0FFF">
      <w:pPr>
        <w:pStyle w:val="Title"/>
        <w:spacing w:after="0"/>
        <w:jc w:val="left"/>
        <w:rPr>
          <w:rFonts w:ascii="Times New Roman" w:hAnsi="Times New Roman"/>
          <w:bCs w:val="0"/>
          <w:color w:val="000000"/>
          <w:sz w:val="24"/>
          <w:szCs w:val="24"/>
        </w:rPr>
      </w:pPr>
    </w:p>
    <w:p w:rsidR="0068532D" w:rsidRDefault="0068532D" w:rsidP="007E0FFF">
      <w:pPr>
        <w:pStyle w:val="Title"/>
        <w:spacing w:after="0"/>
        <w:jc w:val="left"/>
        <w:rPr>
          <w:rFonts w:ascii="Times New Roman" w:hAnsi="Times New Roman"/>
          <w:bCs w:val="0"/>
          <w:color w:val="000000"/>
          <w:sz w:val="24"/>
          <w:szCs w:val="24"/>
        </w:rPr>
      </w:pPr>
    </w:p>
    <w:p w:rsidR="0068532D" w:rsidRDefault="0068532D" w:rsidP="007E0FFF">
      <w:pPr>
        <w:pStyle w:val="Title"/>
        <w:spacing w:after="0"/>
        <w:jc w:val="left"/>
        <w:rPr>
          <w:rFonts w:ascii="Times New Roman" w:hAnsi="Times New Roman"/>
          <w:bCs w:val="0"/>
          <w:color w:val="000000"/>
          <w:sz w:val="24"/>
          <w:szCs w:val="24"/>
        </w:rPr>
      </w:pPr>
    </w:p>
    <w:p w:rsidR="007E0FFF" w:rsidRPr="00DB1D2C" w:rsidRDefault="007E0FFF" w:rsidP="007E0FFF">
      <w:pPr>
        <w:pStyle w:val="Title"/>
        <w:spacing w:after="0"/>
        <w:jc w:val="left"/>
        <w:rPr>
          <w:rFonts w:ascii="Times New Roman" w:hAnsi="Times New Roman"/>
          <w:b w:val="0"/>
          <w:bCs w:val="0"/>
          <w:color w:val="000000"/>
          <w:sz w:val="24"/>
          <w:szCs w:val="24"/>
        </w:rPr>
      </w:pPr>
      <w:r w:rsidRPr="00DB1D2C">
        <w:rPr>
          <w:rFonts w:ascii="Times New Roman" w:hAnsi="Times New Roman"/>
          <w:bCs w:val="0"/>
          <w:color w:val="000000"/>
          <w:sz w:val="24"/>
          <w:szCs w:val="24"/>
        </w:rPr>
        <w:lastRenderedPageBreak/>
        <w:t>Output 1</w:t>
      </w:r>
      <w:r w:rsidRPr="00DB1D2C">
        <w:rPr>
          <w:rFonts w:ascii="Times New Roman" w:hAnsi="Times New Roman"/>
          <w:b w:val="0"/>
          <w:bCs w:val="0"/>
          <w:color w:val="000000"/>
          <w:sz w:val="24"/>
          <w:szCs w:val="24"/>
        </w:rPr>
        <w:t>: Public service policies, regulations, strategies and guidelines revised to enhance service delivery.</w:t>
      </w:r>
    </w:p>
    <w:p w:rsidR="00166D9B" w:rsidRPr="00DB1D2C" w:rsidRDefault="00166D9B" w:rsidP="00166D9B"/>
    <w:p w:rsidR="007E0FFF" w:rsidRPr="00DB1D2C" w:rsidRDefault="007E0FFF" w:rsidP="007E0FFF">
      <w:pPr>
        <w:pStyle w:val="BodyText"/>
        <w:numPr>
          <w:ilvl w:val="0"/>
          <w:numId w:val="28"/>
        </w:numPr>
        <w:spacing w:line="276" w:lineRule="auto"/>
        <w:rPr>
          <w:rFonts w:ascii="Times New Roman" w:hAnsi="Times New Roman"/>
          <w:sz w:val="24"/>
          <w:szCs w:val="24"/>
        </w:rPr>
      </w:pPr>
      <w:r w:rsidRPr="00DB1D2C">
        <w:rPr>
          <w:rFonts w:ascii="Times New Roman" w:hAnsi="Times New Roman"/>
          <w:b/>
          <w:i/>
          <w:sz w:val="24"/>
          <w:szCs w:val="24"/>
        </w:rPr>
        <w:t>Indicator 1:</w:t>
      </w:r>
      <w:r w:rsidRPr="00DB1D2C">
        <w:rPr>
          <w:rFonts w:ascii="Times New Roman" w:hAnsi="Times New Roman"/>
          <w:b/>
          <w:i/>
          <w:sz w:val="24"/>
          <w:szCs w:val="24"/>
        </w:rPr>
        <w:tab/>
      </w:r>
      <w:r w:rsidRPr="00DB1D2C">
        <w:rPr>
          <w:rFonts w:ascii="Times New Roman" w:hAnsi="Times New Roman"/>
          <w:i/>
          <w:sz w:val="24"/>
          <w:szCs w:val="24"/>
        </w:rPr>
        <w:t xml:space="preserve"> </w:t>
      </w:r>
      <w:r w:rsidRPr="00DB1D2C">
        <w:rPr>
          <w:rFonts w:ascii="Times New Roman" w:hAnsi="Times New Roman"/>
          <w:sz w:val="24"/>
          <w:szCs w:val="24"/>
        </w:rPr>
        <w:t>Review</w:t>
      </w:r>
      <w:r w:rsidR="003003B8" w:rsidRPr="00DB1D2C">
        <w:rPr>
          <w:rFonts w:ascii="Times New Roman" w:hAnsi="Times New Roman"/>
          <w:sz w:val="24"/>
          <w:szCs w:val="24"/>
        </w:rPr>
        <w:t>ed</w:t>
      </w:r>
      <w:r w:rsidRPr="00DB1D2C">
        <w:rPr>
          <w:rFonts w:ascii="Times New Roman" w:hAnsi="Times New Roman"/>
          <w:sz w:val="24"/>
          <w:szCs w:val="24"/>
        </w:rPr>
        <w:t xml:space="preserve"> Public Service Report</w:t>
      </w:r>
      <w:r w:rsidR="003003B8" w:rsidRPr="00DB1D2C">
        <w:rPr>
          <w:rFonts w:ascii="Times New Roman" w:hAnsi="Times New Roman"/>
          <w:sz w:val="24"/>
          <w:szCs w:val="24"/>
        </w:rPr>
        <w:t xml:space="preserve"> and P</w:t>
      </w:r>
      <w:r w:rsidRPr="00DB1D2C">
        <w:rPr>
          <w:rFonts w:ascii="Times New Roman" w:hAnsi="Times New Roman"/>
          <w:sz w:val="24"/>
          <w:szCs w:val="24"/>
        </w:rPr>
        <w:t xml:space="preserve">rogram </w:t>
      </w:r>
      <w:r w:rsidR="003003B8" w:rsidRPr="00DB1D2C">
        <w:rPr>
          <w:rFonts w:ascii="Times New Roman" w:hAnsi="Times New Roman"/>
          <w:sz w:val="24"/>
          <w:szCs w:val="24"/>
        </w:rPr>
        <w:t>Document</w:t>
      </w:r>
      <w:r w:rsidRPr="00DB1D2C">
        <w:rPr>
          <w:rFonts w:ascii="Times New Roman" w:hAnsi="Times New Roman"/>
          <w:sz w:val="24"/>
          <w:szCs w:val="24"/>
        </w:rPr>
        <w:t xml:space="preserve"> in place with rec</w:t>
      </w:r>
      <w:r w:rsidR="003003B8" w:rsidRPr="00DB1D2C">
        <w:rPr>
          <w:rFonts w:ascii="Times New Roman" w:hAnsi="Times New Roman"/>
          <w:sz w:val="24"/>
          <w:szCs w:val="24"/>
        </w:rPr>
        <w:t>ommendations on the way forward.</w:t>
      </w:r>
    </w:p>
    <w:p w:rsidR="003003B8" w:rsidRPr="00DB1D2C" w:rsidRDefault="003003B8" w:rsidP="00563AE6">
      <w:pPr>
        <w:jc w:val="both"/>
        <w:rPr>
          <w:bCs/>
          <w:i/>
          <w:color w:val="000000"/>
          <w:lang w:val="en-GB"/>
        </w:rPr>
      </w:pPr>
    </w:p>
    <w:p w:rsidR="00C83169" w:rsidRDefault="007E0FFF" w:rsidP="00563AE6">
      <w:pPr>
        <w:jc w:val="both"/>
      </w:pPr>
      <w:r w:rsidRPr="00DB1D2C">
        <w:rPr>
          <w:bCs/>
          <w:i/>
          <w:color w:val="000000"/>
          <w:lang w:val="en-GB"/>
        </w:rPr>
        <w:t xml:space="preserve">This output was fully </w:t>
      </w:r>
      <w:r w:rsidR="00CF5D6A" w:rsidRPr="00DB1D2C">
        <w:rPr>
          <w:bCs/>
          <w:i/>
          <w:color w:val="000000"/>
          <w:lang w:val="en-GB"/>
        </w:rPr>
        <w:t>achieved</w:t>
      </w:r>
      <w:r w:rsidRPr="00DB1D2C">
        <w:rPr>
          <w:bCs/>
          <w:i/>
          <w:color w:val="000000"/>
          <w:lang w:val="en-GB"/>
        </w:rPr>
        <w:t>.</w:t>
      </w:r>
      <w:r w:rsidRPr="00DB1D2C">
        <w:rPr>
          <w:bCs/>
          <w:color w:val="000000"/>
          <w:lang w:val="en-GB"/>
        </w:rPr>
        <w:t xml:space="preserve">  </w:t>
      </w:r>
      <w:r w:rsidR="0066179F">
        <w:rPr>
          <w:bCs/>
          <w:color w:val="000000"/>
          <w:lang w:val="en-GB"/>
        </w:rPr>
        <w:t>F</w:t>
      </w:r>
      <w:r w:rsidR="006D4BC1">
        <w:rPr>
          <w:bCs/>
          <w:color w:val="000000"/>
          <w:lang w:val="en-GB"/>
        </w:rPr>
        <w:t xml:space="preserve">ocus of </w:t>
      </w:r>
      <w:r w:rsidRPr="00DB1D2C">
        <w:rPr>
          <w:bCs/>
          <w:color w:val="000000"/>
          <w:lang w:val="en-GB"/>
        </w:rPr>
        <w:t xml:space="preserve">this output was </w:t>
      </w:r>
      <w:r w:rsidR="006D4BC1">
        <w:rPr>
          <w:bCs/>
          <w:color w:val="000000"/>
          <w:lang w:val="en-GB"/>
        </w:rPr>
        <w:t xml:space="preserve">on </w:t>
      </w:r>
      <w:r w:rsidRPr="00DB1D2C">
        <w:rPr>
          <w:bCs/>
          <w:color w:val="000000"/>
          <w:lang w:val="en-GB"/>
        </w:rPr>
        <w:t xml:space="preserve">the review of the past public service reform reports, programs and documents </w:t>
      </w:r>
      <w:r w:rsidR="00C50CE6">
        <w:rPr>
          <w:bCs/>
          <w:color w:val="000000"/>
          <w:lang w:val="en-GB"/>
        </w:rPr>
        <w:t xml:space="preserve">to </w:t>
      </w:r>
      <w:r w:rsidRPr="00DB1D2C">
        <w:rPr>
          <w:bCs/>
          <w:color w:val="000000"/>
          <w:lang w:val="en-GB"/>
        </w:rPr>
        <w:t>come up with recommendations and the way forward.</w:t>
      </w:r>
      <w:r w:rsidR="00563AE6" w:rsidRPr="00DB1D2C">
        <w:rPr>
          <w:bCs/>
          <w:color w:val="000000"/>
          <w:lang w:val="en-GB"/>
        </w:rPr>
        <w:t xml:space="preserve">  </w:t>
      </w:r>
      <w:r w:rsidR="0066179F">
        <w:rPr>
          <w:bCs/>
          <w:color w:val="000000"/>
          <w:lang w:val="en-GB"/>
        </w:rPr>
        <w:t xml:space="preserve">The review was deemed necessary following little impact of past reforms efforts.  </w:t>
      </w:r>
      <w:r w:rsidRPr="00DB1D2C">
        <w:rPr>
          <w:bCs/>
          <w:color w:val="000000"/>
          <w:lang w:val="en-GB"/>
        </w:rPr>
        <w:t xml:space="preserve">A </w:t>
      </w:r>
      <w:r w:rsidRPr="00DB1D2C">
        <w:t xml:space="preserve">Desk Review was carried out and finalized by </w:t>
      </w:r>
      <w:r w:rsidR="00C50CE6">
        <w:t xml:space="preserve">a </w:t>
      </w:r>
      <w:r w:rsidRPr="00DB1D2C">
        <w:t xml:space="preserve">consultant hired by </w:t>
      </w:r>
      <w:r w:rsidR="00DB1D2C">
        <w:t>United States Agency for International Development</w:t>
      </w:r>
      <w:r w:rsidRPr="00DB1D2C">
        <w:t xml:space="preserve">. </w:t>
      </w:r>
      <w:r w:rsidR="00563AE6" w:rsidRPr="00DB1D2C">
        <w:t xml:space="preserve"> </w:t>
      </w:r>
      <w:r w:rsidR="00C50CE6">
        <w:t xml:space="preserve">The report </w:t>
      </w:r>
      <w:r w:rsidR="00563AE6" w:rsidRPr="00DB1D2C">
        <w:t>concluded that past initiatives did</w:t>
      </w:r>
      <w:r w:rsidRPr="00DB1D2C">
        <w:t xml:space="preserve"> not provid</w:t>
      </w:r>
      <w:r w:rsidR="00563AE6" w:rsidRPr="00DB1D2C">
        <w:t xml:space="preserve">e </w:t>
      </w:r>
      <w:r w:rsidRPr="00DB1D2C">
        <w:t>sufficient foundation for</w:t>
      </w:r>
      <w:r w:rsidR="00563AE6" w:rsidRPr="00DB1D2C">
        <w:t xml:space="preserve"> </w:t>
      </w:r>
      <w:r w:rsidRPr="00DB1D2C">
        <w:t>implementation of a successful Public Service Reform Program</w:t>
      </w:r>
      <w:r w:rsidR="00563AE6" w:rsidRPr="00DB1D2C">
        <w:t>s.  The</w:t>
      </w:r>
      <w:r w:rsidR="00E34B5E">
        <w:t>se p</w:t>
      </w:r>
      <w:r w:rsidR="00563AE6" w:rsidRPr="00DB1D2C">
        <w:t xml:space="preserve">rograms lacked </w:t>
      </w:r>
      <w:r w:rsidRPr="00DB1D2C">
        <w:t xml:space="preserve">robust </w:t>
      </w:r>
      <w:r w:rsidR="00563AE6" w:rsidRPr="00DB1D2C">
        <w:t>d</w:t>
      </w:r>
      <w:r w:rsidRPr="00DB1D2C">
        <w:t xml:space="preserve">esign and performance management framework </w:t>
      </w:r>
      <w:r w:rsidR="00563AE6" w:rsidRPr="00DB1D2C">
        <w:t>that: (i) cle</w:t>
      </w:r>
      <w:r w:rsidRPr="00DB1D2C">
        <w:t>arly define</w:t>
      </w:r>
      <w:r w:rsidR="00E34B5E">
        <w:t>d</w:t>
      </w:r>
      <w:r w:rsidRPr="00DB1D2C">
        <w:t xml:space="preserve"> measureable results</w:t>
      </w:r>
      <w:r w:rsidR="00563AE6" w:rsidRPr="00DB1D2C">
        <w:t xml:space="preserve"> (performance indicators, targets and baselines)</w:t>
      </w:r>
      <w:r w:rsidRPr="00DB1D2C">
        <w:t>, based on objectives to be achieved</w:t>
      </w:r>
      <w:r w:rsidR="00563AE6" w:rsidRPr="00DB1D2C">
        <w:t>; (ii) clearly</w:t>
      </w:r>
      <w:r w:rsidRPr="00DB1D2C">
        <w:t xml:space="preserve"> demonstrate</w:t>
      </w:r>
      <w:r w:rsidR="00E34B5E">
        <w:t>d</w:t>
      </w:r>
      <w:r w:rsidRPr="00DB1D2C">
        <w:t xml:space="preserve"> logical relationship between high level goals, plann</w:t>
      </w:r>
      <w:r w:rsidR="00E34B5E">
        <w:t xml:space="preserve">ed outputs or outcomes, and </w:t>
      </w:r>
      <w:r w:rsidRPr="00DB1D2C">
        <w:t>activities to be undertaken;</w:t>
      </w:r>
      <w:r w:rsidR="00E34B5E">
        <w:t xml:space="preserve"> and (iii) clearly provided</w:t>
      </w:r>
      <w:r w:rsidR="00563AE6" w:rsidRPr="00DB1D2C">
        <w:t xml:space="preserve"> plans and prioritization of the different activities.</w:t>
      </w:r>
      <w:r w:rsidR="00C9438A" w:rsidRPr="00DB1D2C">
        <w:t xml:space="preserve">  </w:t>
      </w:r>
    </w:p>
    <w:p w:rsidR="00E34B5E" w:rsidRPr="00DB1D2C" w:rsidRDefault="00E34B5E" w:rsidP="00563AE6">
      <w:pPr>
        <w:jc w:val="both"/>
      </w:pPr>
    </w:p>
    <w:p w:rsidR="007E0FFF" w:rsidRPr="00DB1D2C" w:rsidRDefault="00C50CE6" w:rsidP="00C9438A">
      <w:pPr>
        <w:jc w:val="both"/>
      </w:pPr>
      <w:r>
        <w:t>As a way forward, t</w:t>
      </w:r>
      <w:r w:rsidR="00563AE6" w:rsidRPr="00DB1D2C">
        <w:t xml:space="preserve">he review recommended </w:t>
      </w:r>
      <w:r>
        <w:t>a re-design of the</w:t>
      </w:r>
      <w:r w:rsidR="007E0FFF" w:rsidRPr="00DB1D2C">
        <w:t xml:space="preserve"> P</w:t>
      </w:r>
      <w:r w:rsidR="00903DD8" w:rsidRPr="00DB1D2C">
        <w:t>ublic Service Reform P</w:t>
      </w:r>
      <w:r w:rsidR="007E0FFF" w:rsidRPr="00DB1D2C">
        <w:t xml:space="preserve">rogram </w:t>
      </w:r>
      <w:r>
        <w:t xml:space="preserve">to ensure </w:t>
      </w:r>
      <w:r w:rsidR="00903DD8" w:rsidRPr="00DB1D2C">
        <w:t>comprehensive</w:t>
      </w:r>
      <w:r>
        <w:t xml:space="preserve">ness -- </w:t>
      </w:r>
      <w:r w:rsidR="00903DD8" w:rsidRPr="00DB1D2C">
        <w:t>tak</w:t>
      </w:r>
      <w:r>
        <w:t>ing</w:t>
      </w:r>
      <w:r w:rsidR="00903DD8" w:rsidRPr="00DB1D2C">
        <w:t xml:space="preserve"> into consideration </w:t>
      </w:r>
      <w:r w:rsidR="007E0FFF" w:rsidRPr="00DB1D2C">
        <w:t>performance issues</w:t>
      </w:r>
      <w:r w:rsidR="00903DD8" w:rsidRPr="00DB1D2C">
        <w:t xml:space="preserve"> and link</w:t>
      </w:r>
      <w:r>
        <w:t xml:space="preserve">ing it </w:t>
      </w:r>
      <w:r w:rsidR="00903DD8" w:rsidRPr="00DB1D2C">
        <w:t>to other reform programs such as PFEM</w:t>
      </w:r>
      <w:r>
        <w:t>.  F</w:t>
      </w:r>
      <w:r w:rsidRPr="00DB1D2C">
        <w:t>ollowing widespread consultations with the development partners (DPs), the academia, private sector, civil society and senior Government Officials</w:t>
      </w:r>
      <w:r>
        <w:t>, t</w:t>
      </w:r>
      <w:r w:rsidR="00C20F35" w:rsidRPr="00DB1D2C">
        <w:t xml:space="preserve">he Consultant developed a </w:t>
      </w:r>
      <w:r w:rsidR="0052181F">
        <w:t>draft P</w:t>
      </w:r>
      <w:r w:rsidR="00C20F35" w:rsidRPr="00DB1D2C">
        <w:t xml:space="preserve">ublic Service Modernization Program (PSMP).   </w:t>
      </w:r>
      <w:r w:rsidR="0052181F">
        <w:t>It was proposed that t</w:t>
      </w:r>
      <w:r w:rsidR="00C83169" w:rsidRPr="00DB1D2C">
        <w:t xml:space="preserve">he term “modernization” </w:t>
      </w:r>
      <w:r w:rsidR="0052181F">
        <w:t xml:space="preserve">should be adopted </w:t>
      </w:r>
      <w:r w:rsidR="00C83169" w:rsidRPr="00DB1D2C">
        <w:t xml:space="preserve">as opposed to “reforms” </w:t>
      </w:r>
      <w:r w:rsidR="0052181F">
        <w:t>as</w:t>
      </w:r>
      <w:r w:rsidR="00006405">
        <w:t xml:space="preserve"> </w:t>
      </w:r>
      <w:r w:rsidR="00C83169" w:rsidRPr="00DB1D2C">
        <w:t>p</w:t>
      </w:r>
      <w:r w:rsidR="00C83169" w:rsidRPr="00DB1D2C">
        <w:rPr>
          <w:rFonts w:cs="Arial"/>
        </w:rPr>
        <w:t>ublic s</w:t>
      </w:r>
      <w:r w:rsidR="00006405">
        <w:rPr>
          <w:rFonts w:cs="Arial"/>
        </w:rPr>
        <w:t>ervice performance improvement i</w:t>
      </w:r>
      <w:r w:rsidR="007E0FFF" w:rsidRPr="00DB1D2C">
        <w:rPr>
          <w:rFonts w:cs="Arial"/>
        </w:rPr>
        <w:t>s an on-going process of managing issues, methods, systems, tools and circumstances, which are always evolving.</w:t>
      </w:r>
      <w:r w:rsidR="00C83169" w:rsidRPr="00DB1D2C">
        <w:rPr>
          <w:rFonts w:cs="Arial"/>
        </w:rPr>
        <w:t xml:space="preserve">  Reforms, on the other hand, have had negative connotations </w:t>
      </w:r>
      <w:r w:rsidR="0052181F">
        <w:rPr>
          <w:rFonts w:cs="Arial"/>
        </w:rPr>
        <w:t xml:space="preserve">because of past experiences </w:t>
      </w:r>
      <w:r w:rsidR="00C83169" w:rsidRPr="00DB1D2C">
        <w:rPr>
          <w:rFonts w:cs="Arial"/>
        </w:rPr>
        <w:t>and are viewed as a “one-off” activity.</w:t>
      </w:r>
    </w:p>
    <w:p w:rsidR="00C83169" w:rsidRPr="00DB1D2C" w:rsidRDefault="00C83169" w:rsidP="00C9438A">
      <w:pPr>
        <w:jc w:val="both"/>
        <w:rPr>
          <w:rFonts w:cs="Arial"/>
        </w:rPr>
      </w:pPr>
    </w:p>
    <w:p w:rsidR="00701996" w:rsidRPr="00946588" w:rsidRDefault="00CB043D" w:rsidP="00F37B3F">
      <w:pPr>
        <w:jc w:val="both"/>
        <w:rPr>
          <w:color w:val="000000" w:themeColor="text1"/>
          <w:lang w:eastAsia="en-GB"/>
        </w:rPr>
      </w:pPr>
      <w:r w:rsidRPr="00946588">
        <w:rPr>
          <w:rFonts w:cs="Arial"/>
          <w:color w:val="000000" w:themeColor="text1"/>
        </w:rPr>
        <w:t>However, t</w:t>
      </w:r>
      <w:r w:rsidR="007D5B6E" w:rsidRPr="00946588">
        <w:rPr>
          <w:rFonts w:cs="Arial"/>
          <w:color w:val="000000" w:themeColor="text1"/>
        </w:rPr>
        <w:t>he process of finalizing the P</w:t>
      </w:r>
      <w:r w:rsidRPr="00946588">
        <w:rPr>
          <w:rFonts w:cs="Arial"/>
          <w:color w:val="000000" w:themeColor="text1"/>
        </w:rPr>
        <w:t>D</w:t>
      </w:r>
      <w:r w:rsidR="007D5B6E" w:rsidRPr="00946588">
        <w:rPr>
          <w:rFonts w:cs="Arial"/>
          <w:color w:val="000000" w:themeColor="text1"/>
        </w:rPr>
        <w:t xml:space="preserve"> stalled as the new Democratic Progressive Party (DPP) Government, ushered in following </w:t>
      </w:r>
      <w:r w:rsidR="00577CAC" w:rsidRPr="00946588">
        <w:rPr>
          <w:rFonts w:cs="Arial"/>
          <w:color w:val="000000" w:themeColor="text1"/>
        </w:rPr>
        <w:t xml:space="preserve">the </w:t>
      </w:r>
      <w:r w:rsidR="007D5B6E" w:rsidRPr="00946588">
        <w:rPr>
          <w:rFonts w:cs="Arial"/>
          <w:color w:val="000000" w:themeColor="text1"/>
        </w:rPr>
        <w:t>May 20, 2014</w:t>
      </w:r>
      <w:r w:rsidR="00577CAC" w:rsidRPr="00946588">
        <w:rPr>
          <w:rFonts w:cs="Arial"/>
          <w:color w:val="000000" w:themeColor="text1"/>
        </w:rPr>
        <w:t xml:space="preserve">, established </w:t>
      </w:r>
      <w:r w:rsidR="007D5B6E" w:rsidRPr="00946588">
        <w:rPr>
          <w:rFonts w:cs="Arial"/>
          <w:color w:val="000000" w:themeColor="text1"/>
        </w:rPr>
        <w:t>the</w:t>
      </w:r>
      <w:r w:rsidR="00577CAC" w:rsidRPr="00946588">
        <w:rPr>
          <w:rFonts w:cs="Arial"/>
          <w:color w:val="000000" w:themeColor="text1"/>
        </w:rPr>
        <w:t xml:space="preserve"> Public Service Reforms Commission</w:t>
      </w:r>
      <w:r w:rsidR="007D5B6E" w:rsidRPr="00946588">
        <w:rPr>
          <w:rFonts w:cs="Arial"/>
          <w:color w:val="000000" w:themeColor="text1"/>
        </w:rPr>
        <w:t xml:space="preserve"> headed by the Vice President.  </w:t>
      </w:r>
      <w:r w:rsidR="00577CAC" w:rsidRPr="00946588">
        <w:rPr>
          <w:rFonts w:cs="Arial"/>
          <w:color w:val="000000" w:themeColor="text1"/>
        </w:rPr>
        <w:t xml:space="preserve">The Commission, </w:t>
      </w:r>
      <w:r w:rsidR="007D5B6E" w:rsidRPr="00946588">
        <w:rPr>
          <w:rFonts w:cs="Arial"/>
          <w:color w:val="000000" w:themeColor="text1"/>
        </w:rPr>
        <w:t xml:space="preserve">established in July 2014, </w:t>
      </w:r>
      <w:r w:rsidR="00577CAC" w:rsidRPr="00946588">
        <w:rPr>
          <w:rFonts w:cs="Arial"/>
          <w:color w:val="000000" w:themeColor="text1"/>
        </w:rPr>
        <w:t xml:space="preserve">was given </w:t>
      </w:r>
      <w:r w:rsidR="007D5B6E" w:rsidRPr="00946588">
        <w:rPr>
          <w:rFonts w:cs="Arial"/>
          <w:color w:val="000000" w:themeColor="text1"/>
        </w:rPr>
        <w:t>six</w:t>
      </w:r>
      <w:r w:rsidR="00577CAC" w:rsidRPr="00946588">
        <w:rPr>
          <w:rFonts w:cs="Arial"/>
          <w:color w:val="000000" w:themeColor="text1"/>
        </w:rPr>
        <w:t xml:space="preserve"> months to come up with priority areas of public service reforms and Action Plan.  </w:t>
      </w:r>
      <w:r w:rsidR="007D5B6E" w:rsidRPr="00946588">
        <w:rPr>
          <w:rFonts w:cs="Arial"/>
          <w:color w:val="000000" w:themeColor="text1"/>
        </w:rPr>
        <w:t xml:space="preserve">In identifying critical </w:t>
      </w:r>
      <w:r w:rsidR="00805D4C" w:rsidRPr="00946588">
        <w:rPr>
          <w:rFonts w:cs="Arial"/>
          <w:color w:val="000000" w:themeColor="text1"/>
        </w:rPr>
        <w:t xml:space="preserve">reform </w:t>
      </w:r>
      <w:r w:rsidR="007D5B6E" w:rsidRPr="00946588">
        <w:rPr>
          <w:rFonts w:cs="Arial"/>
          <w:color w:val="000000" w:themeColor="text1"/>
        </w:rPr>
        <w:t>areas</w:t>
      </w:r>
      <w:r w:rsidR="00805D4C" w:rsidRPr="00946588">
        <w:rPr>
          <w:rFonts w:cs="Arial"/>
          <w:color w:val="000000" w:themeColor="text1"/>
        </w:rPr>
        <w:t>,</w:t>
      </w:r>
      <w:r w:rsidR="007D5B6E" w:rsidRPr="00946588">
        <w:rPr>
          <w:rFonts w:cs="Arial"/>
          <w:color w:val="000000" w:themeColor="text1"/>
        </w:rPr>
        <w:t xml:space="preserve"> t</w:t>
      </w:r>
      <w:r w:rsidR="00577CAC" w:rsidRPr="00946588">
        <w:rPr>
          <w:rFonts w:cs="Arial"/>
          <w:color w:val="000000" w:themeColor="text1"/>
        </w:rPr>
        <w:t xml:space="preserve">he Project supported </w:t>
      </w:r>
      <w:r w:rsidR="009A5355" w:rsidRPr="00946588">
        <w:rPr>
          <w:rFonts w:cs="Arial"/>
          <w:color w:val="000000" w:themeColor="text1"/>
        </w:rPr>
        <w:t>Commissioners’</w:t>
      </w:r>
      <w:r w:rsidR="00577CAC" w:rsidRPr="00946588">
        <w:rPr>
          <w:rFonts w:cs="Arial"/>
          <w:color w:val="000000" w:themeColor="text1"/>
        </w:rPr>
        <w:t xml:space="preserve"> </w:t>
      </w:r>
      <w:r w:rsidR="009A5355" w:rsidRPr="00946588">
        <w:rPr>
          <w:rFonts w:cs="Arial"/>
          <w:color w:val="000000" w:themeColor="text1"/>
        </w:rPr>
        <w:t xml:space="preserve">consultations with various stakeholders including private sector champions, </w:t>
      </w:r>
      <w:r w:rsidR="00BC79FA" w:rsidRPr="00946588">
        <w:rPr>
          <w:rFonts w:cs="Arial"/>
          <w:color w:val="000000" w:themeColor="text1"/>
        </w:rPr>
        <w:t>representatives of political parties, repr</w:t>
      </w:r>
      <w:bookmarkStart w:id="2" w:name="_GoBack"/>
      <w:bookmarkEnd w:id="2"/>
      <w:r w:rsidR="00BC79FA" w:rsidRPr="00946588">
        <w:rPr>
          <w:rFonts w:cs="Arial"/>
          <w:color w:val="000000" w:themeColor="text1"/>
        </w:rPr>
        <w:t xml:space="preserve">esentatives of workers trade unions, </w:t>
      </w:r>
      <w:r w:rsidR="009A5355" w:rsidRPr="00946588">
        <w:rPr>
          <w:rFonts w:cs="Arial"/>
          <w:color w:val="000000" w:themeColor="text1"/>
        </w:rPr>
        <w:t xml:space="preserve">non-governmental organization, civil society organizations </w:t>
      </w:r>
      <w:r w:rsidR="00577CAC" w:rsidRPr="00946588">
        <w:rPr>
          <w:rFonts w:cs="Arial"/>
          <w:color w:val="000000" w:themeColor="text1"/>
        </w:rPr>
        <w:t xml:space="preserve">as well as </w:t>
      </w:r>
      <w:r w:rsidR="007D5B6E" w:rsidRPr="00946588">
        <w:rPr>
          <w:rFonts w:cs="Arial"/>
          <w:color w:val="000000" w:themeColor="text1"/>
        </w:rPr>
        <w:t xml:space="preserve">faith-based organization.  </w:t>
      </w:r>
      <w:r w:rsidR="009A5355" w:rsidRPr="00946588">
        <w:rPr>
          <w:rFonts w:cs="Arial"/>
          <w:color w:val="000000" w:themeColor="text1"/>
        </w:rPr>
        <w:t xml:space="preserve">Through South-South Triangular Cooperation, </w:t>
      </w:r>
      <w:r w:rsidR="00F37B3F" w:rsidRPr="00946588">
        <w:rPr>
          <w:rFonts w:cs="Arial"/>
          <w:color w:val="000000" w:themeColor="text1"/>
        </w:rPr>
        <w:t>the Project a</w:t>
      </w:r>
      <w:r w:rsidR="009A5355" w:rsidRPr="00946588">
        <w:rPr>
          <w:rFonts w:cs="Arial"/>
          <w:color w:val="000000" w:themeColor="text1"/>
        </w:rPr>
        <w:t xml:space="preserve">lso </w:t>
      </w:r>
      <w:r w:rsidR="00F37B3F" w:rsidRPr="00946588">
        <w:rPr>
          <w:rFonts w:cs="Arial"/>
          <w:color w:val="000000" w:themeColor="text1"/>
        </w:rPr>
        <w:t xml:space="preserve">provided financial and technical assistance to </w:t>
      </w:r>
      <w:r w:rsidR="009A5355" w:rsidRPr="00946588">
        <w:rPr>
          <w:rFonts w:cs="Arial"/>
          <w:color w:val="000000" w:themeColor="text1"/>
        </w:rPr>
        <w:t xml:space="preserve">facilitate </w:t>
      </w:r>
      <w:r w:rsidR="00577CAC" w:rsidRPr="00946588">
        <w:rPr>
          <w:rFonts w:cs="Arial"/>
          <w:color w:val="000000" w:themeColor="text1"/>
        </w:rPr>
        <w:t xml:space="preserve">Benchmarking Tour of the Commissioners </w:t>
      </w:r>
      <w:r w:rsidR="009A5355" w:rsidRPr="00946588">
        <w:rPr>
          <w:rFonts w:cs="Arial"/>
          <w:color w:val="000000" w:themeColor="text1"/>
        </w:rPr>
        <w:t xml:space="preserve">to Kenya, United Kingdom and Singapore to learn </w:t>
      </w:r>
      <w:r w:rsidR="00F37B3F" w:rsidRPr="00946588">
        <w:rPr>
          <w:rFonts w:cs="Arial"/>
          <w:color w:val="000000" w:themeColor="text1"/>
        </w:rPr>
        <w:t xml:space="preserve">from best practices.  The end result was a report titled </w:t>
      </w:r>
      <w:r w:rsidR="00F37B3F" w:rsidRPr="00946588">
        <w:rPr>
          <w:rFonts w:cs="Arial"/>
          <w:i/>
          <w:color w:val="000000" w:themeColor="text1"/>
        </w:rPr>
        <w:t>“</w:t>
      </w:r>
      <w:r w:rsidR="00F37B3F" w:rsidRPr="00946588">
        <w:rPr>
          <w:i/>
          <w:color w:val="000000" w:themeColor="text1"/>
          <w:lang w:eastAsia="en-GB"/>
        </w:rPr>
        <w:t>Looking into the Future: Making Malawi Work: Transforming Malawi’s Public Service”.</w:t>
      </w:r>
      <w:r w:rsidR="00F37B3F" w:rsidRPr="00946588">
        <w:rPr>
          <w:color w:val="000000" w:themeColor="text1"/>
          <w:lang w:eastAsia="en-GB"/>
        </w:rPr>
        <w:t xml:space="preserve">  </w:t>
      </w:r>
    </w:p>
    <w:p w:rsidR="00701996" w:rsidRPr="00946588" w:rsidRDefault="00701996" w:rsidP="00F37B3F">
      <w:pPr>
        <w:jc w:val="both"/>
        <w:rPr>
          <w:color w:val="000000" w:themeColor="text1"/>
          <w:lang w:eastAsia="en-GB"/>
        </w:rPr>
      </w:pPr>
    </w:p>
    <w:p w:rsidR="00F37B3F" w:rsidRPr="00DB1D2C" w:rsidRDefault="00F37B3F" w:rsidP="00F37B3F">
      <w:pPr>
        <w:jc w:val="both"/>
        <w:rPr>
          <w:lang w:eastAsia="en-GB"/>
        </w:rPr>
      </w:pPr>
      <w:r w:rsidRPr="00DB1D2C">
        <w:rPr>
          <w:lang w:eastAsia="en-GB"/>
        </w:rPr>
        <w:t>The Report provides</w:t>
      </w:r>
      <w:r w:rsidR="00EA2FAA" w:rsidRPr="00DB1D2C">
        <w:rPr>
          <w:lang w:eastAsia="en-GB"/>
        </w:rPr>
        <w:t xml:space="preserve"> some observations and recommendations to improve efficiency and effect</w:t>
      </w:r>
      <w:r w:rsidR="00CF4660" w:rsidRPr="00DB1D2C">
        <w:rPr>
          <w:lang w:eastAsia="en-GB"/>
        </w:rPr>
        <w:t xml:space="preserve">iveness of the public service.  </w:t>
      </w:r>
      <w:r w:rsidR="00EA2FAA" w:rsidRPr="00DB1D2C">
        <w:rPr>
          <w:lang w:eastAsia="en-GB"/>
        </w:rPr>
        <w:t>These recommendations were approved by t</w:t>
      </w:r>
      <w:r w:rsidR="007D5B6E">
        <w:rPr>
          <w:lang w:eastAsia="en-GB"/>
        </w:rPr>
        <w:t xml:space="preserve">he President in December 2014.   </w:t>
      </w:r>
      <w:r w:rsidR="00A153F9">
        <w:rPr>
          <w:lang w:eastAsia="en-GB"/>
        </w:rPr>
        <w:t xml:space="preserve">Some notable recommendations include selection of </w:t>
      </w:r>
      <w:r w:rsidR="00A153F9">
        <w:rPr>
          <w:lang w:eastAsia="en-GB"/>
        </w:rPr>
        <w:lastRenderedPageBreak/>
        <w:t xml:space="preserve">“pioneer” MDAs to </w:t>
      </w:r>
      <w:r w:rsidR="00701996">
        <w:rPr>
          <w:lang w:eastAsia="en-GB"/>
        </w:rPr>
        <w:t xml:space="preserve">champion reforms, reducing the number of PSs from more than 80 to 40, aligning some positions such as Attorney General, Central Bank Governor and Chief Secretary to the Presidential tenure – to mention a few.  </w:t>
      </w:r>
      <w:r w:rsidR="00A90912" w:rsidRPr="00DB1D2C">
        <w:rPr>
          <w:lang w:eastAsia="en-GB"/>
        </w:rPr>
        <w:t>The Commission is currently validating the</w:t>
      </w:r>
      <w:r w:rsidR="00701996">
        <w:rPr>
          <w:lang w:eastAsia="en-GB"/>
        </w:rPr>
        <w:t>se</w:t>
      </w:r>
      <w:r w:rsidR="00A90912" w:rsidRPr="00DB1D2C">
        <w:rPr>
          <w:lang w:eastAsia="en-GB"/>
        </w:rPr>
        <w:t xml:space="preserve"> recommendations with the view to developing an Implementation Action Plan.</w:t>
      </w:r>
      <w:r w:rsidR="007D5B6E">
        <w:rPr>
          <w:lang w:eastAsia="en-GB"/>
        </w:rPr>
        <w:t xml:space="preserve">  PSRMU is also working with the Kenyan School of Government and Singapore School of Excellence to come up with </w:t>
      </w:r>
      <w:r w:rsidR="00816B4E">
        <w:rPr>
          <w:lang w:eastAsia="en-GB"/>
        </w:rPr>
        <w:t xml:space="preserve">areas of </w:t>
      </w:r>
      <w:r w:rsidR="007D5B6E">
        <w:rPr>
          <w:lang w:eastAsia="en-GB"/>
        </w:rPr>
        <w:t xml:space="preserve">long-term </w:t>
      </w:r>
      <w:r w:rsidR="00816B4E">
        <w:rPr>
          <w:lang w:eastAsia="en-GB"/>
        </w:rPr>
        <w:t>cooperation</w:t>
      </w:r>
      <w:r w:rsidR="007D5B6E">
        <w:rPr>
          <w:lang w:eastAsia="en-GB"/>
        </w:rPr>
        <w:t>.</w:t>
      </w:r>
    </w:p>
    <w:p w:rsidR="00CF4660" w:rsidRPr="00DB1D2C" w:rsidRDefault="00CF4660" w:rsidP="00F37B3F">
      <w:pPr>
        <w:jc w:val="both"/>
        <w:rPr>
          <w:lang w:eastAsia="en-GB"/>
        </w:rPr>
      </w:pPr>
    </w:p>
    <w:p w:rsidR="006E2C3E" w:rsidRPr="006E2C3E" w:rsidRDefault="00816B4E" w:rsidP="006E2C3E">
      <w:pPr>
        <w:jc w:val="both"/>
      </w:pPr>
      <w:r>
        <w:rPr>
          <w:lang w:eastAsia="en-GB"/>
        </w:rPr>
        <w:t>C</w:t>
      </w:r>
      <w:r w:rsidR="00A90912" w:rsidRPr="006E2C3E">
        <w:rPr>
          <w:lang w:eastAsia="en-GB"/>
        </w:rPr>
        <w:t>omplement</w:t>
      </w:r>
      <w:r>
        <w:rPr>
          <w:lang w:eastAsia="en-GB"/>
        </w:rPr>
        <w:t>ing</w:t>
      </w:r>
      <w:r w:rsidR="00CF4660" w:rsidRPr="006E2C3E">
        <w:rPr>
          <w:lang w:eastAsia="en-GB"/>
        </w:rPr>
        <w:t xml:space="preserve"> efforts </w:t>
      </w:r>
      <w:r w:rsidR="00A153F9">
        <w:rPr>
          <w:lang w:eastAsia="en-GB"/>
        </w:rPr>
        <w:t>of</w:t>
      </w:r>
      <w:r w:rsidR="00CF4660" w:rsidRPr="006E2C3E">
        <w:rPr>
          <w:lang w:eastAsia="en-GB"/>
        </w:rPr>
        <w:t xml:space="preserve"> the Commission, from December</w:t>
      </w:r>
      <w:r w:rsidR="00AF43E7" w:rsidRPr="006E2C3E">
        <w:rPr>
          <w:lang w:eastAsia="en-GB"/>
        </w:rPr>
        <w:t xml:space="preserve"> 15</w:t>
      </w:r>
      <w:r w:rsidR="00F53B66" w:rsidRPr="006E2C3E">
        <w:rPr>
          <w:lang w:eastAsia="en-GB"/>
        </w:rPr>
        <w:t xml:space="preserve"> - </w:t>
      </w:r>
      <w:r w:rsidR="006E2C3E">
        <w:rPr>
          <w:lang w:eastAsia="en-GB"/>
        </w:rPr>
        <w:t>17</w:t>
      </w:r>
      <w:r w:rsidR="00F53B66" w:rsidRPr="006E2C3E">
        <w:rPr>
          <w:lang w:eastAsia="en-GB"/>
        </w:rPr>
        <w:t>,</w:t>
      </w:r>
      <w:r w:rsidR="00CF4660" w:rsidRPr="006E2C3E">
        <w:rPr>
          <w:lang w:eastAsia="en-GB"/>
        </w:rPr>
        <w:t xml:space="preserve"> 2014, the Vice President’s Office, through </w:t>
      </w:r>
      <w:r>
        <w:rPr>
          <w:lang w:eastAsia="en-GB"/>
        </w:rPr>
        <w:t>PSRMU</w:t>
      </w:r>
      <w:r w:rsidR="00CF4660" w:rsidRPr="006E2C3E">
        <w:rPr>
          <w:lang w:eastAsia="en-GB"/>
        </w:rPr>
        <w:t>, held Principal Secretaries</w:t>
      </w:r>
      <w:r w:rsidR="00F53B66" w:rsidRPr="006E2C3E">
        <w:rPr>
          <w:lang w:eastAsia="en-GB"/>
        </w:rPr>
        <w:t>’</w:t>
      </w:r>
      <w:r w:rsidR="00CF4660" w:rsidRPr="006E2C3E">
        <w:rPr>
          <w:lang w:eastAsia="en-GB"/>
        </w:rPr>
        <w:t xml:space="preserve"> Retreat at </w:t>
      </w:r>
      <w:r w:rsidR="006E2C3E" w:rsidRPr="006E2C3E">
        <w:rPr>
          <w:lang w:eastAsia="en-GB"/>
        </w:rPr>
        <w:t xml:space="preserve">Sunbird </w:t>
      </w:r>
      <w:r w:rsidR="00CF4660" w:rsidRPr="006E2C3E">
        <w:rPr>
          <w:lang w:eastAsia="en-GB"/>
        </w:rPr>
        <w:t>Nkopola Lodge in Mangochi.</w:t>
      </w:r>
      <w:r>
        <w:t xml:space="preserve">  </w:t>
      </w:r>
      <w:r w:rsidR="006E2C3E" w:rsidRPr="006E2C3E">
        <w:t xml:space="preserve">The theme of the Retreat was </w:t>
      </w:r>
      <w:r w:rsidR="006E2C3E" w:rsidRPr="006E2C3E">
        <w:rPr>
          <w:i/>
        </w:rPr>
        <w:t xml:space="preserve">“Leading for Results: </w:t>
      </w:r>
      <w:r w:rsidR="006E2C3E" w:rsidRPr="006E2C3E">
        <w:t xml:space="preserve"> </w:t>
      </w:r>
      <w:r w:rsidR="006E2C3E" w:rsidRPr="006E2C3E">
        <w:rPr>
          <w:i/>
        </w:rPr>
        <w:t>The Critical Role of the Principal Secretary, Head of Constitutional and Independent Body”</w:t>
      </w:r>
      <w:r w:rsidR="006E2C3E">
        <w:t xml:space="preserve">.  </w:t>
      </w:r>
      <w:r w:rsidR="00B15C36">
        <w:t>The</w:t>
      </w:r>
      <w:r w:rsidR="006E2C3E" w:rsidRPr="006E2C3E">
        <w:t xml:space="preserve"> Government decided to revive the annual event</w:t>
      </w:r>
      <w:r w:rsidR="00B15C36">
        <w:t>, after five years,</w:t>
      </w:r>
      <w:r w:rsidR="006E2C3E" w:rsidRPr="006E2C3E">
        <w:t xml:space="preserve"> in order to accord Controlling Officers with an opportunity to meet and strategize on issues affecting the Public Service.</w:t>
      </w:r>
      <w:r w:rsidR="00B15C36" w:rsidRPr="00B15C36">
        <w:t xml:space="preserve"> </w:t>
      </w:r>
      <w:r w:rsidR="00B15C36">
        <w:t xml:space="preserve"> The R</w:t>
      </w:r>
      <w:r w:rsidR="00B15C36" w:rsidRPr="006E2C3E">
        <w:t xml:space="preserve">etreat was held against a background of renewed vigor, determination and strong political will to move the Public Service forward through, among other measures, reforms aimed at promoting and maintaining efficiency and effectiveness within the Public Service </w:t>
      </w:r>
      <w:r w:rsidR="00B15C36">
        <w:t>for del</w:t>
      </w:r>
      <w:r w:rsidR="00B15C36" w:rsidRPr="006E2C3E">
        <w:t xml:space="preserve">ivery of quality services.  </w:t>
      </w:r>
      <w:r>
        <w:t>A number of presentations were made by key people, including some</w:t>
      </w:r>
      <w:r w:rsidR="00AE0C78">
        <w:t xml:space="preserve"> who had </w:t>
      </w:r>
      <w:r>
        <w:t>retired from the public service.</w:t>
      </w:r>
    </w:p>
    <w:p w:rsidR="00CF4660" w:rsidRPr="00DB1D2C" w:rsidRDefault="00CF4660" w:rsidP="00F37B3F">
      <w:pPr>
        <w:jc w:val="both"/>
        <w:rPr>
          <w:lang w:eastAsia="en-GB"/>
        </w:rPr>
      </w:pPr>
    </w:p>
    <w:p w:rsidR="00EA2FAA" w:rsidRPr="00DB1D2C" w:rsidRDefault="00AE0C78" w:rsidP="00C9438A">
      <w:pPr>
        <w:jc w:val="both"/>
        <w:rPr>
          <w:rFonts w:cs="Arial"/>
        </w:rPr>
      </w:pPr>
      <w:r>
        <w:rPr>
          <w:rFonts w:cs="Arial"/>
        </w:rPr>
        <w:t>In conclusion, w</w:t>
      </w:r>
      <w:r w:rsidR="00F82337" w:rsidRPr="00DB1D2C">
        <w:rPr>
          <w:rFonts w:cs="Arial"/>
        </w:rPr>
        <w:t xml:space="preserve">hile the process to finalize the PSD was not concluded, the energy and commitment with which the new Government </w:t>
      </w:r>
      <w:r w:rsidR="00BC6D07">
        <w:rPr>
          <w:rFonts w:cs="Arial"/>
        </w:rPr>
        <w:t xml:space="preserve">is </w:t>
      </w:r>
      <w:r w:rsidR="00F82337" w:rsidRPr="00DB1D2C">
        <w:rPr>
          <w:rFonts w:cs="Arial"/>
        </w:rPr>
        <w:t>approach</w:t>
      </w:r>
      <w:r w:rsidR="00BC6D07">
        <w:rPr>
          <w:rFonts w:cs="Arial"/>
        </w:rPr>
        <w:t>ing</w:t>
      </w:r>
      <w:r w:rsidR="00F82337" w:rsidRPr="00DB1D2C">
        <w:rPr>
          <w:rFonts w:cs="Arial"/>
        </w:rPr>
        <w:t xml:space="preserve"> reforms has brought </w:t>
      </w:r>
      <w:r w:rsidR="00950AA4">
        <w:rPr>
          <w:rFonts w:cs="Arial"/>
        </w:rPr>
        <w:t xml:space="preserve">about </w:t>
      </w:r>
      <w:r>
        <w:rPr>
          <w:rFonts w:cs="Arial"/>
        </w:rPr>
        <w:t xml:space="preserve">renewed </w:t>
      </w:r>
      <w:r w:rsidR="00F82337" w:rsidRPr="00DB1D2C">
        <w:rPr>
          <w:rFonts w:cs="Arial"/>
        </w:rPr>
        <w:t xml:space="preserve">interest not only from </w:t>
      </w:r>
      <w:r>
        <w:rPr>
          <w:rFonts w:cs="Arial"/>
        </w:rPr>
        <w:t xml:space="preserve">the </w:t>
      </w:r>
      <w:r w:rsidR="00F82337" w:rsidRPr="00DB1D2C">
        <w:rPr>
          <w:rFonts w:cs="Arial"/>
        </w:rPr>
        <w:t xml:space="preserve">Malawian citizenry but </w:t>
      </w:r>
      <w:r>
        <w:rPr>
          <w:rFonts w:cs="Arial"/>
        </w:rPr>
        <w:t xml:space="preserve">other stakeholders including </w:t>
      </w:r>
      <w:r w:rsidR="00F82337" w:rsidRPr="00DB1D2C">
        <w:rPr>
          <w:rFonts w:cs="Arial"/>
        </w:rPr>
        <w:t xml:space="preserve">development partners.  All stakeholders now agree that public service reforms are </w:t>
      </w:r>
      <w:r w:rsidR="00870C92">
        <w:rPr>
          <w:rFonts w:cs="Arial"/>
        </w:rPr>
        <w:t xml:space="preserve">a necessary </w:t>
      </w:r>
      <w:r w:rsidR="00A510C1" w:rsidRPr="00DB1D2C">
        <w:rPr>
          <w:rFonts w:cs="Arial"/>
        </w:rPr>
        <w:t>prerequisite if Malawi, as country, is to achieve it</w:t>
      </w:r>
      <w:r w:rsidR="00B267C2" w:rsidRPr="00DB1D2C">
        <w:rPr>
          <w:rFonts w:cs="Arial"/>
        </w:rPr>
        <w:t>s</w:t>
      </w:r>
      <w:r w:rsidR="00A510C1" w:rsidRPr="00DB1D2C">
        <w:rPr>
          <w:rFonts w:cs="Arial"/>
        </w:rPr>
        <w:t xml:space="preserve"> MGDS II goals and objectives.</w:t>
      </w:r>
    </w:p>
    <w:p w:rsidR="007E0FFF" w:rsidRPr="00DB1D2C" w:rsidRDefault="007E0FFF" w:rsidP="007E0FFF"/>
    <w:p w:rsidR="002C2A64" w:rsidRPr="00DB1D2C" w:rsidRDefault="00555B51" w:rsidP="000661A2">
      <w:pPr>
        <w:jc w:val="both"/>
        <w:rPr>
          <w:bCs/>
        </w:rPr>
      </w:pPr>
      <w:r w:rsidRPr="00DB1D2C">
        <w:rPr>
          <w:b/>
          <w:bCs/>
        </w:rPr>
        <w:t>Output 2:</w:t>
      </w:r>
      <w:r w:rsidRPr="00DB1D2C">
        <w:rPr>
          <w:bCs/>
        </w:rPr>
        <w:t xml:space="preserve"> Public service leadership and management skills and competencies, values, ethics and integrity enhanced for efficient and effective service delivery.</w:t>
      </w:r>
    </w:p>
    <w:p w:rsidR="00301A8E" w:rsidRPr="00DB1D2C" w:rsidRDefault="00301A8E" w:rsidP="000661A2">
      <w:pPr>
        <w:jc w:val="both"/>
        <w:rPr>
          <w:bCs/>
        </w:rPr>
      </w:pPr>
    </w:p>
    <w:p w:rsidR="00301A8E" w:rsidRPr="00DB1D2C" w:rsidRDefault="00301A8E" w:rsidP="00301A8E">
      <w:pPr>
        <w:pStyle w:val="ListParagraph"/>
        <w:numPr>
          <w:ilvl w:val="0"/>
          <w:numId w:val="30"/>
        </w:numPr>
        <w:jc w:val="both"/>
        <w:rPr>
          <w:rFonts w:ascii="Times New Roman" w:hAnsi="Times New Roman"/>
          <w:bCs/>
          <w:sz w:val="24"/>
          <w:szCs w:val="24"/>
        </w:rPr>
      </w:pPr>
      <w:r w:rsidRPr="00DB1D2C">
        <w:rPr>
          <w:rFonts w:ascii="Times New Roman" w:hAnsi="Times New Roman"/>
          <w:b/>
          <w:bCs/>
          <w:i/>
          <w:sz w:val="24"/>
          <w:szCs w:val="24"/>
        </w:rPr>
        <w:t>Indicator 1:</w:t>
      </w:r>
      <w:r w:rsidRPr="00DB1D2C">
        <w:rPr>
          <w:rFonts w:ascii="Times New Roman" w:hAnsi="Times New Roman"/>
          <w:bCs/>
          <w:sz w:val="24"/>
          <w:szCs w:val="24"/>
        </w:rPr>
        <w:t xml:space="preserve">  % of public officers (P5 and above) trained in ethics, integrity and professionalism, disaggregated by gender</w:t>
      </w:r>
    </w:p>
    <w:p w:rsidR="00E827D7" w:rsidRPr="00DB1D2C" w:rsidRDefault="00E827D7" w:rsidP="00301A8E">
      <w:pPr>
        <w:pStyle w:val="ListParagraph"/>
        <w:numPr>
          <w:ilvl w:val="0"/>
          <w:numId w:val="30"/>
        </w:numPr>
        <w:jc w:val="both"/>
        <w:rPr>
          <w:rFonts w:ascii="Times New Roman" w:hAnsi="Times New Roman"/>
          <w:bCs/>
          <w:sz w:val="24"/>
          <w:szCs w:val="24"/>
        </w:rPr>
      </w:pPr>
      <w:r w:rsidRPr="00DB1D2C">
        <w:rPr>
          <w:rFonts w:ascii="Times New Roman" w:hAnsi="Times New Roman"/>
          <w:b/>
          <w:bCs/>
          <w:i/>
          <w:sz w:val="24"/>
          <w:szCs w:val="24"/>
        </w:rPr>
        <w:t>Indicator 2:</w:t>
      </w:r>
      <w:r w:rsidRPr="00DB1D2C">
        <w:rPr>
          <w:rFonts w:ascii="Times New Roman" w:hAnsi="Times New Roman"/>
          <w:bCs/>
          <w:sz w:val="24"/>
          <w:szCs w:val="24"/>
        </w:rPr>
        <w:t xml:space="preserve">  No of suspected wrongdoings reported and dealt with.</w:t>
      </w:r>
    </w:p>
    <w:p w:rsidR="00E827D7" w:rsidRPr="00DB1D2C" w:rsidRDefault="00E827D7" w:rsidP="00301A8E">
      <w:pPr>
        <w:pStyle w:val="ListParagraph"/>
        <w:numPr>
          <w:ilvl w:val="0"/>
          <w:numId w:val="30"/>
        </w:numPr>
        <w:jc w:val="both"/>
        <w:rPr>
          <w:rFonts w:ascii="Times New Roman" w:hAnsi="Times New Roman"/>
          <w:bCs/>
          <w:sz w:val="24"/>
          <w:szCs w:val="24"/>
        </w:rPr>
      </w:pPr>
      <w:r w:rsidRPr="00DB1D2C">
        <w:rPr>
          <w:rFonts w:ascii="Times New Roman" w:hAnsi="Times New Roman"/>
          <w:b/>
          <w:bCs/>
          <w:i/>
          <w:sz w:val="24"/>
          <w:szCs w:val="24"/>
        </w:rPr>
        <w:t>Indicator 3:</w:t>
      </w:r>
      <w:r w:rsidR="00343C97" w:rsidRPr="00DB1D2C">
        <w:rPr>
          <w:rFonts w:ascii="Times New Roman" w:hAnsi="Times New Roman"/>
          <w:bCs/>
          <w:sz w:val="24"/>
          <w:szCs w:val="24"/>
        </w:rPr>
        <w:t xml:space="preserve"> </w:t>
      </w:r>
      <w:r w:rsidRPr="00DB1D2C">
        <w:rPr>
          <w:rFonts w:ascii="Times New Roman" w:hAnsi="Times New Roman"/>
          <w:bCs/>
          <w:sz w:val="24"/>
          <w:szCs w:val="24"/>
        </w:rPr>
        <w:t># of learning and exchange programs on ethical issues conducted through South-South Triangular Cooperation</w:t>
      </w:r>
    </w:p>
    <w:p w:rsidR="00E827D7" w:rsidRPr="00DB1D2C" w:rsidRDefault="00E827D7" w:rsidP="00301A8E">
      <w:pPr>
        <w:pStyle w:val="ListParagraph"/>
        <w:numPr>
          <w:ilvl w:val="0"/>
          <w:numId w:val="30"/>
        </w:numPr>
        <w:jc w:val="both"/>
        <w:rPr>
          <w:rFonts w:ascii="Times New Roman" w:hAnsi="Times New Roman"/>
          <w:bCs/>
          <w:sz w:val="24"/>
          <w:szCs w:val="24"/>
        </w:rPr>
      </w:pPr>
      <w:r w:rsidRPr="00DB1D2C">
        <w:rPr>
          <w:rFonts w:ascii="Times New Roman" w:hAnsi="Times New Roman"/>
          <w:b/>
          <w:bCs/>
          <w:i/>
          <w:sz w:val="24"/>
          <w:szCs w:val="24"/>
        </w:rPr>
        <w:t>Indicator 4:</w:t>
      </w:r>
      <w:r w:rsidRPr="00DB1D2C">
        <w:rPr>
          <w:rFonts w:ascii="Times New Roman" w:hAnsi="Times New Roman"/>
          <w:bCs/>
          <w:sz w:val="24"/>
          <w:szCs w:val="24"/>
        </w:rPr>
        <w:t xml:space="preserve"> % change in ethical behavior of the targeted trained population (P5 above)</w:t>
      </w:r>
    </w:p>
    <w:p w:rsidR="0043750E" w:rsidRPr="00DB1D2C" w:rsidRDefault="00C16EED" w:rsidP="0043750E">
      <w:pPr>
        <w:jc w:val="both"/>
        <w:rPr>
          <w:lang w:val="en-GB"/>
        </w:rPr>
      </w:pPr>
      <w:r w:rsidRPr="00DB1D2C">
        <w:rPr>
          <w:i/>
        </w:rPr>
        <w:t xml:space="preserve">This output was partially </w:t>
      </w:r>
      <w:r w:rsidR="008E3375" w:rsidRPr="00DB1D2C">
        <w:rPr>
          <w:i/>
        </w:rPr>
        <w:t>achieved</w:t>
      </w:r>
      <w:r w:rsidRPr="00DB1D2C">
        <w:rPr>
          <w:i/>
        </w:rPr>
        <w:t>.</w:t>
      </w:r>
      <w:r w:rsidRPr="00DB1D2C">
        <w:rPr>
          <w:b/>
          <w:i/>
        </w:rPr>
        <w:t xml:space="preserve"> </w:t>
      </w:r>
      <w:r w:rsidRPr="00DB1D2C">
        <w:t xml:space="preserve"> Key under this output was the training of senior public officers in ethics, integrity and professionalism</w:t>
      </w:r>
      <w:r w:rsidR="00F45E62" w:rsidRPr="00DB1D2C">
        <w:t xml:space="preserve"> in response to t</w:t>
      </w:r>
      <w:r w:rsidR="00F45E62" w:rsidRPr="00DB1D2C">
        <w:rPr>
          <w:lang w:val="en-GB"/>
        </w:rPr>
        <w:t xml:space="preserve">he Government’s Action Plan following the </w:t>
      </w:r>
      <w:r w:rsidR="00F45E62" w:rsidRPr="00DB1D2C">
        <w:rPr>
          <w:i/>
          <w:lang w:val="en-GB"/>
        </w:rPr>
        <w:t>“cashgate scandal”.</w:t>
      </w:r>
      <w:r w:rsidR="00F45E62" w:rsidRPr="00DB1D2C">
        <w:rPr>
          <w:lang w:val="en-GB"/>
        </w:rPr>
        <w:t xml:space="preserve">  The training was </w:t>
      </w:r>
      <w:r w:rsidR="0043750E" w:rsidRPr="00DB1D2C">
        <w:rPr>
          <w:lang w:val="en-GB"/>
        </w:rPr>
        <w:t>o</w:t>
      </w:r>
      <w:r w:rsidR="00F45E62" w:rsidRPr="00DB1D2C">
        <w:rPr>
          <w:lang w:val="en-GB"/>
        </w:rPr>
        <w:t>ne of the activities designed to bring back moral values</w:t>
      </w:r>
      <w:r w:rsidR="000A46E6">
        <w:rPr>
          <w:lang w:val="en-GB"/>
        </w:rPr>
        <w:t xml:space="preserve">, </w:t>
      </w:r>
      <w:r w:rsidR="00F45E62" w:rsidRPr="00DB1D2C">
        <w:rPr>
          <w:lang w:val="en-GB"/>
        </w:rPr>
        <w:t xml:space="preserve">ethical behaviour </w:t>
      </w:r>
      <w:r w:rsidR="000A46E6">
        <w:rPr>
          <w:lang w:val="en-GB"/>
        </w:rPr>
        <w:t xml:space="preserve">and </w:t>
      </w:r>
      <w:r w:rsidR="000A46E6" w:rsidRPr="00DB1D2C">
        <w:rPr>
          <w:lang w:val="en-GB"/>
        </w:rPr>
        <w:t xml:space="preserve">professionalism </w:t>
      </w:r>
      <w:r w:rsidR="00F45E62" w:rsidRPr="00DB1D2C">
        <w:rPr>
          <w:lang w:val="en-GB"/>
        </w:rPr>
        <w:t xml:space="preserve">within the public service. </w:t>
      </w:r>
      <w:r w:rsidR="0043750E" w:rsidRPr="00DB1D2C">
        <w:rPr>
          <w:lang w:val="en-GB"/>
        </w:rPr>
        <w:t xml:space="preserve">  Prior to the training, a</w:t>
      </w:r>
      <w:r w:rsidRPr="00DB1D2C">
        <w:t xml:space="preserve"> quick </w:t>
      </w:r>
      <w:r w:rsidR="0043750E" w:rsidRPr="00DB1D2C">
        <w:t xml:space="preserve">survey was conducted </w:t>
      </w:r>
      <w:r w:rsidR="00F45E62" w:rsidRPr="00DB1D2C">
        <w:t>aimed at</w:t>
      </w:r>
      <w:r w:rsidR="008C5E3E">
        <w:t>:</w:t>
      </w:r>
      <w:r w:rsidR="00F45E62" w:rsidRPr="00DB1D2C">
        <w:t xml:space="preserve"> (i) creating a baseline data that w</w:t>
      </w:r>
      <w:r w:rsidR="000A46E6">
        <w:t>ould</w:t>
      </w:r>
      <w:r w:rsidR="00F45E62" w:rsidRPr="00DB1D2C">
        <w:t xml:space="preserve"> contribute to ethics and integrity training</w:t>
      </w:r>
      <w:r w:rsidR="000A46E6">
        <w:t>;</w:t>
      </w:r>
      <w:r w:rsidR="00F45E62" w:rsidRPr="00DB1D2C">
        <w:t xml:space="preserve"> (ii) understanding underlying factors to public financial mismanagement; and (iii) recommending ways of strengthening the public service.</w:t>
      </w:r>
      <w:r w:rsidR="00F45E62" w:rsidRPr="00DB1D2C">
        <w:rPr>
          <w:lang w:val="en-GB"/>
        </w:rPr>
        <w:t xml:space="preserve">   </w:t>
      </w:r>
    </w:p>
    <w:p w:rsidR="0043750E" w:rsidRPr="00DB1D2C" w:rsidRDefault="0043750E" w:rsidP="0043750E">
      <w:pPr>
        <w:jc w:val="both"/>
        <w:rPr>
          <w:lang w:val="en-GB"/>
        </w:rPr>
      </w:pPr>
    </w:p>
    <w:p w:rsidR="00CC093A" w:rsidRPr="00DB1D2C" w:rsidRDefault="0043750E" w:rsidP="00CC093A">
      <w:pPr>
        <w:jc w:val="both"/>
        <w:rPr>
          <w:lang w:val="en-GB"/>
        </w:rPr>
      </w:pPr>
      <w:r w:rsidRPr="00DB1D2C">
        <w:rPr>
          <w:lang w:val="en-GB"/>
        </w:rPr>
        <w:t>The S</w:t>
      </w:r>
      <w:r w:rsidR="00F45E62" w:rsidRPr="00DB1D2C">
        <w:rPr>
          <w:lang w:val="en-GB"/>
        </w:rPr>
        <w:t xml:space="preserve">urvey </w:t>
      </w:r>
      <w:r w:rsidR="00CC093A" w:rsidRPr="00DB1D2C">
        <w:rPr>
          <w:lang w:val="en-GB"/>
        </w:rPr>
        <w:t xml:space="preserve">concluded that </w:t>
      </w:r>
      <w:r w:rsidR="00CC093A" w:rsidRPr="00DB1D2C">
        <w:t>unethical</w:t>
      </w:r>
      <w:r w:rsidR="004A20D5" w:rsidRPr="00DB1D2C">
        <w:t xml:space="preserve"> behavior in the public service, particularly public financial mismanagement, corruption, theft, fraud and bribery, are much higher in the post multiparty period compared with pre-multiparty period.   </w:t>
      </w:r>
      <w:r w:rsidR="008C5E3E">
        <w:t>Also, w</w:t>
      </w:r>
      <w:r w:rsidR="00CC093A" w:rsidRPr="00DB1D2C">
        <w:t>hile legal, policy and institutional fr</w:t>
      </w:r>
      <w:r w:rsidR="008C5E3E">
        <w:t>ameworks do exist</w:t>
      </w:r>
      <w:r w:rsidR="00CC093A" w:rsidRPr="00DB1D2C">
        <w:t xml:space="preserve"> to govern ethical behaviors in the public service, there is little or no enforcement of these instruments.  Added to this, watchdog bodies entrusted to ensure accountability in the public service are more often under-resourced.  Some responde</w:t>
      </w:r>
      <w:r w:rsidR="00AD1343">
        <w:t>nts</w:t>
      </w:r>
      <w:r w:rsidR="00CC093A" w:rsidRPr="00DB1D2C">
        <w:t xml:space="preserve"> felt that the </w:t>
      </w:r>
      <w:r w:rsidR="00AD1343">
        <w:t xml:space="preserve">unethical </w:t>
      </w:r>
      <w:r w:rsidR="00CC093A" w:rsidRPr="00DB1D2C">
        <w:t xml:space="preserve">behavior </w:t>
      </w:r>
      <w:r w:rsidR="00AD1343">
        <w:t xml:space="preserve">in the public service </w:t>
      </w:r>
      <w:r w:rsidR="00CC093A" w:rsidRPr="00DB1D2C">
        <w:t>results from poor conditions of service, mainly poor remuneration.  These findings provided the basis for the training.</w:t>
      </w:r>
    </w:p>
    <w:p w:rsidR="00CC093A" w:rsidRPr="00DB1D2C" w:rsidRDefault="00CC093A" w:rsidP="0043750E">
      <w:pPr>
        <w:jc w:val="both"/>
      </w:pPr>
    </w:p>
    <w:p w:rsidR="00C16EED" w:rsidRPr="00DB1D2C" w:rsidRDefault="00165C66" w:rsidP="007F260B">
      <w:pPr>
        <w:pStyle w:val="NoSpacing"/>
        <w:jc w:val="both"/>
        <w:rPr>
          <w:rFonts w:ascii="Times New Roman" w:eastAsia="Arial Unicode MS" w:hAnsi="Times New Roman"/>
          <w:sz w:val="24"/>
          <w:szCs w:val="24"/>
        </w:rPr>
      </w:pPr>
      <w:r>
        <w:rPr>
          <w:noProof/>
        </w:rPr>
        <mc:AlternateContent>
          <mc:Choice Requires="wps">
            <w:drawing>
              <wp:anchor distT="0" distB="0" distL="114300" distR="114300" simplePos="0" relativeHeight="251663872" behindDoc="0" locked="0" layoutInCell="1" allowOverlap="1" wp14:anchorId="585B0715" wp14:editId="372B9901">
                <wp:simplePos x="0" y="0"/>
                <wp:positionH relativeFrom="margin">
                  <wp:align>left</wp:align>
                </wp:positionH>
                <wp:positionV relativeFrom="paragraph">
                  <wp:posOffset>2670810</wp:posOffset>
                </wp:positionV>
                <wp:extent cx="3703320" cy="29845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3703320" cy="298450"/>
                        </a:xfrm>
                        <a:prstGeom prst="rect">
                          <a:avLst/>
                        </a:prstGeom>
                        <a:solidFill>
                          <a:prstClr val="white"/>
                        </a:solidFill>
                        <a:ln>
                          <a:noFill/>
                        </a:ln>
                        <a:effectLst/>
                      </wps:spPr>
                      <wps:txbx>
                        <w:txbxContent>
                          <w:p w:rsidR="007B0875" w:rsidRPr="00DB0652" w:rsidRDefault="007B0875" w:rsidP="00165C66">
                            <w:pPr>
                              <w:pStyle w:val="Caption"/>
                              <w:rPr>
                                <w:rFonts w:eastAsia="Calibri"/>
                                <w:noProof/>
                                <w:sz w:val="24"/>
                                <w:szCs w:val="24"/>
                              </w:rPr>
                            </w:pPr>
                            <w:r>
                              <w:t xml:space="preserve">Figure </w:t>
                            </w:r>
                            <w:r>
                              <w:fldChar w:fldCharType="begin"/>
                            </w:r>
                            <w:r>
                              <w:instrText xml:space="preserve"> SEQ Figure \* ARABIC </w:instrText>
                            </w:r>
                            <w:r>
                              <w:fldChar w:fldCharType="separate"/>
                            </w:r>
                            <w:r>
                              <w:rPr>
                                <w:noProof/>
                              </w:rPr>
                              <w:t>1</w:t>
                            </w:r>
                            <w:r>
                              <w:fldChar w:fldCharType="end"/>
                            </w:r>
                            <w:r>
                              <w:t>:  Participants to High Level Consultations on Strengthening Integrity and Accountability with Principal Secretaries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5B0715" id="_x0000_t202" coordsize="21600,21600" o:spt="202" path="m,l,21600r21600,l21600,xe">
                <v:stroke joinstyle="miter"/>
                <v:path gradientshapeok="t" o:connecttype="rect"/>
              </v:shapetype>
              <v:shape id="Text Box 5" o:spid="_x0000_s1026" type="#_x0000_t202" style="position:absolute;left:0;text-align:left;margin-left:0;margin-top:210.3pt;width:291.6pt;height:23.5pt;z-index:2516638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" stroked="f">
                <v:textbox inset="0,0,0,0">
                  <w:txbxContent>
                    <w:p w:rsidR="007B0875" w:rsidRPr="00DB0652" w:rsidRDefault="007B0875" w:rsidP="00165C66">
                      <w:pPr>
                        <w:pStyle w:val="Caption"/>
                        <w:rPr>
                          <w:rFonts w:eastAsia="Calibri"/>
                          <w:noProof/>
                          <w:sz w:val="24"/>
                          <w:szCs w:val="24"/>
                        </w:rPr>
                      </w:pPr>
                      <w:r>
                        <w:t xml:space="preserve">Figure </w:t>
                      </w:r>
                      <w:r>
                        <w:fldChar w:fldCharType="begin"/>
                      </w:r>
                      <w:r>
                        <w:instrText xml:space="preserve"> SEQ Figure \* ARABIC </w:instrText>
                      </w:r>
                      <w:r>
                        <w:fldChar w:fldCharType="separate"/>
                      </w:r>
                      <w:r>
                        <w:rPr>
                          <w:noProof/>
                        </w:rPr>
                        <w:t>1</w:t>
                      </w:r>
                      <w:r>
                        <w:fldChar w:fldCharType="end"/>
                      </w:r>
                      <w:r>
                        <w:t>:  Participants to High Level Consultations on Strengthening Integrity and Accountability with Principal Secretaries</w:t>
                      </w:r>
                    </w:p>
                  </w:txbxContent>
                </v:textbox>
                <w10:wrap type="square" anchorx="margin"/>
              </v:shape>
            </w:pict>
          </mc:Fallback>
        </mc:AlternateContent>
      </w:r>
      <w:r w:rsidR="00A73164" w:rsidRPr="00DB1D2C">
        <w:rPr>
          <w:rFonts w:ascii="Times New Roman" w:hAnsi="Times New Roman"/>
          <w:noProof/>
          <w:sz w:val="24"/>
          <w:szCs w:val="24"/>
        </w:rPr>
        <w:drawing>
          <wp:anchor distT="0" distB="0" distL="114300" distR="114300" simplePos="0" relativeHeight="251658752" behindDoc="0" locked="0" layoutInCell="1" allowOverlap="1" wp14:anchorId="58B32BCA" wp14:editId="6CA3C483">
            <wp:simplePos x="0" y="0"/>
            <wp:positionH relativeFrom="margin">
              <wp:align>left</wp:align>
            </wp:positionH>
            <wp:positionV relativeFrom="paragraph">
              <wp:posOffset>102870</wp:posOffset>
            </wp:positionV>
            <wp:extent cx="3703320" cy="2578608"/>
            <wp:effectExtent l="0" t="0" r="0" b="0"/>
            <wp:wrapSquare wrapText="right"/>
            <wp:docPr id="3" name="Picture 3" descr="DSC_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4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3320" cy="25786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093A" w:rsidRPr="00DB1D2C">
        <w:rPr>
          <w:rFonts w:ascii="Times New Roman" w:hAnsi="Times New Roman"/>
          <w:sz w:val="24"/>
          <w:szCs w:val="24"/>
        </w:rPr>
        <w:t xml:space="preserve">The training was facilitated by </w:t>
      </w:r>
      <w:r w:rsidR="00DD2CAC">
        <w:rPr>
          <w:rFonts w:ascii="Times New Roman" w:hAnsi="Times New Roman"/>
          <w:sz w:val="24"/>
          <w:szCs w:val="24"/>
        </w:rPr>
        <w:t xml:space="preserve">two </w:t>
      </w:r>
      <w:r w:rsidR="00CC093A" w:rsidRPr="00DB1D2C">
        <w:rPr>
          <w:rFonts w:ascii="Times New Roman" w:hAnsi="Times New Roman"/>
          <w:sz w:val="24"/>
          <w:szCs w:val="24"/>
        </w:rPr>
        <w:t xml:space="preserve">experts </w:t>
      </w:r>
      <w:r w:rsidR="00C273B8" w:rsidRPr="00DB1D2C">
        <w:rPr>
          <w:rFonts w:ascii="Times New Roman" w:hAnsi="Times New Roman"/>
          <w:color w:val="000000"/>
          <w:sz w:val="24"/>
          <w:szCs w:val="24"/>
        </w:rPr>
        <w:t xml:space="preserve">from </w:t>
      </w:r>
      <w:r w:rsidR="00C273B8" w:rsidRPr="00DB1D2C">
        <w:rPr>
          <w:rFonts w:ascii="Times New Roman" w:hAnsi="Times New Roman"/>
          <w:sz w:val="24"/>
          <w:szCs w:val="24"/>
        </w:rPr>
        <w:t xml:space="preserve">the </w:t>
      </w:r>
      <w:r w:rsidR="00C16EED" w:rsidRPr="00DB1D2C">
        <w:rPr>
          <w:rFonts w:ascii="Times New Roman" w:hAnsi="Times New Roman"/>
          <w:sz w:val="24"/>
          <w:szCs w:val="24"/>
        </w:rPr>
        <w:t xml:space="preserve">Regional </w:t>
      </w:r>
      <w:r w:rsidR="00C273B8" w:rsidRPr="00DB1D2C">
        <w:rPr>
          <w:rFonts w:ascii="Times New Roman" w:hAnsi="Times New Roman"/>
          <w:sz w:val="24"/>
          <w:szCs w:val="24"/>
        </w:rPr>
        <w:t xml:space="preserve">Service Center </w:t>
      </w:r>
      <w:r w:rsidR="00C16EED" w:rsidRPr="00DB1D2C">
        <w:rPr>
          <w:rFonts w:ascii="Times New Roman" w:hAnsi="Times New Roman"/>
          <w:sz w:val="24"/>
          <w:szCs w:val="24"/>
        </w:rPr>
        <w:t>for Africa</w:t>
      </w:r>
      <w:r w:rsidR="00CF5D6A" w:rsidRPr="00DB1D2C">
        <w:rPr>
          <w:rFonts w:ascii="Times New Roman" w:hAnsi="Times New Roman"/>
          <w:sz w:val="24"/>
          <w:szCs w:val="24"/>
        </w:rPr>
        <w:t xml:space="preserve"> (RSCA)</w:t>
      </w:r>
      <w:r w:rsidR="00C16EED" w:rsidRPr="00DB1D2C">
        <w:rPr>
          <w:rFonts w:ascii="Times New Roman" w:hAnsi="Times New Roman"/>
          <w:sz w:val="24"/>
          <w:szCs w:val="24"/>
        </w:rPr>
        <w:t>, in Addis Ababa, Ethiopia</w:t>
      </w:r>
      <w:r w:rsidR="007F260B" w:rsidRPr="00DB1D2C">
        <w:rPr>
          <w:rFonts w:ascii="Times New Roman" w:hAnsi="Times New Roman"/>
          <w:sz w:val="24"/>
          <w:szCs w:val="24"/>
        </w:rPr>
        <w:t xml:space="preserve"> </w:t>
      </w:r>
      <w:r w:rsidR="00967DF8">
        <w:rPr>
          <w:rFonts w:ascii="Times New Roman" w:hAnsi="Times New Roman"/>
          <w:sz w:val="24"/>
          <w:szCs w:val="24"/>
        </w:rPr>
        <w:t>and was organized a</w:t>
      </w:r>
      <w:r w:rsidR="007F260B" w:rsidRPr="00DB1D2C">
        <w:rPr>
          <w:rFonts w:ascii="Times New Roman" w:hAnsi="Times New Roman"/>
          <w:sz w:val="24"/>
          <w:szCs w:val="24"/>
        </w:rPr>
        <w:t xml:space="preserve">t </w:t>
      </w:r>
      <w:r w:rsidR="00C16EED" w:rsidRPr="00DB1D2C">
        <w:rPr>
          <w:rFonts w:ascii="Times New Roman" w:eastAsia="Arial Unicode MS" w:hAnsi="Times New Roman"/>
          <w:sz w:val="24"/>
          <w:szCs w:val="24"/>
        </w:rPr>
        <w:t xml:space="preserve">three levels: (i) Training of Trainers; (ii) High Level Consultation on Strengthening Integrity and Accountability with Principal Secretaries and Heads of Constitutional Bodies; and (iii) Orientation on Ethics and Integrity for Directors, Senior Accounting Personnel and Systems Analysts. All the three training courses were conducted at the Malawi Institute of Management (MIM) each for two days, from </w:t>
      </w:r>
      <w:r w:rsidR="007F260B" w:rsidRPr="00DB1D2C">
        <w:rPr>
          <w:rFonts w:ascii="Times New Roman" w:eastAsia="Arial Unicode MS" w:hAnsi="Times New Roman"/>
          <w:sz w:val="24"/>
          <w:szCs w:val="24"/>
        </w:rPr>
        <w:t>March 4-5, 2014,</w:t>
      </w:r>
      <w:r w:rsidR="00C16EED" w:rsidRPr="00DB1D2C">
        <w:rPr>
          <w:rFonts w:ascii="Times New Roman" w:eastAsia="Arial Unicode MS" w:hAnsi="Times New Roman"/>
          <w:sz w:val="24"/>
          <w:szCs w:val="24"/>
        </w:rPr>
        <w:t xml:space="preserve"> </w:t>
      </w:r>
      <w:r w:rsidR="007F260B" w:rsidRPr="00DB1D2C">
        <w:rPr>
          <w:rFonts w:ascii="Times New Roman" w:eastAsia="Arial Unicode MS" w:hAnsi="Times New Roman"/>
          <w:sz w:val="24"/>
          <w:szCs w:val="24"/>
        </w:rPr>
        <w:t>March 10 – 11 and March 17 -18, 2014</w:t>
      </w:r>
      <w:r w:rsidR="00C16EED" w:rsidRPr="00DB1D2C">
        <w:rPr>
          <w:rFonts w:ascii="Times New Roman" w:eastAsia="Arial Unicode MS" w:hAnsi="Times New Roman"/>
          <w:sz w:val="24"/>
          <w:szCs w:val="24"/>
        </w:rPr>
        <w:t>, respectively</w:t>
      </w:r>
      <w:r>
        <w:rPr>
          <w:rFonts w:ascii="Times New Roman" w:eastAsia="Arial Unicode MS" w:hAnsi="Times New Roman"/>
          <w:sz w:val="24"/>
          <w:szCs w:val="24"/>
        </w:rPr>
        <w:t xml:space="preserve">.  </w:t>
      </w:r>
    </w:p>
    <w:p w:rsidR="007F260B" w:rsidRPr="00DB1D2C" w:rsidRDefault="007F260B" w:rsidP="00CF5D6A">
      <w:pPr>
        <w:pStyle w:val="NoSpacing"/>
        <w:jc w:val="both"/>
        <w:rPr>
          <w:rFonts w:eastAsia="Arial Unicode MS"/>
          <w:sz w:val="24"/>
          <w:szCs w:val="24"/>
        </w:rPr>
      </w:pPr>
    </w:p>
    <w:p w:rsidR="00C16EED" w:rsidRPr="00DB1D2C" w:rsidRDefault="00C16EED" w:rsidP="00CF5D6A">
      <w:pPr>
        <w:pStyle w:val="NoSpacing"/>
        <w:jc w:val="both"/>
        <w:rPr>
          <w:rFonts w:ascii="Times New Roman" w:eastAsia="Arial Unicode MS" w:hAnsi="Times New Roman"/>
          <w:sz w:val="24"/>
          <w:szCs w:val="24"/>
        </w:rPr>
      </w:pPr>
      <w:r w:rsidRPr="00DB1D2C">
        <w:rPr>
          <w:rFonts w:ascii="Times New Roman" w:eastAsia="Arial Unicode MS" w:hAnsi="Times New Roman"/>
          <w:sz w:val="24"/>
          <w:szCs w:val="24"/>
        </w:rPr>
        <w:t xml:space="preserve">A total of 212 participants attended the training courses </w:t>
      </w:r>
      <w:r w:rsidR="008A36F9">
        <w:rPr>
          <w:rFonts w:ascii="Times New Roman" w:eastAsia="Arial Unicode MS" w:hAnsi="Times New Roman"/>
          <w:sz w:val="24"/>
          <w:szCs w:val="24"/>
        </w:rPr>
        <w:t>distributed as</w:t>
      </w:r>
      <w:r w:rsidRPr="00DB1D2C">
        <w:rPr>
          <w:rFonts w:ascii="Times New Roman" w:eastAsia="Arial Unicode MS" w:hAnsi="Times New Roman"/>
          <w:sz w:val="24"/>
          <w:szCs w:val="24"/>
        </w:rPr>
        <w:t xml:space="preserve"> follows</w:t>
      </w:r>
      <w:r w:rsidR="008A36F9">
        <w:rPr>
          <w:rFonts w:ascii="Times New Roman" w:eastAsia="Arial Unicode MS" w:hAnsi="Times New Roman"/>
          <w:sz w:val="24"/>
          <w:szCs w:val="24"/>
        </w:rPr>
        <w:t>:</w:t>
      </w:r>
      <w:r w:rsidRPr="00DB1D2C">
        <w:rPr>
          <w:rFonts w:ascii="Times New Roman" w:eastAsia="Arial Unicode MS" w:hAnsi="Times New Roman"/>
          <w:sz w:val="24"/>
          <w:szCs w:val="24"/>
        </w:rPr>
        <w:t xml:space="preserve">  32 TOTs were trained; 44 PSs and Head of Constitutional Bodies; and 134 Directors, Senior Accounting Personnel and Systems Analysts were reached. </w:t>
      </w:r>
      <w:r w:rsidR="00450E97" w:rsidRPr="00DB1D2C">
        <w:rPr>
          <w:rFonts w:ascii="Times New Roman" w:eastAsia="Arial Unicode MS" w:hAnsi="Times New Roman"/>
          <w:sz w:val="24"/>
          <w:szCs w:val="24"/>
        </w:rPr>
        <w:t xml:space="preserve"> </w:t>
      </w:r>
      <w:r w:rsidR="00F55695">
        <w:rPr>
          <w:rFonts w:ascii="Times New Roman" w:eastAsia="Arial Unicode MS" w:hAnsi="Times New Roman"/>
          <w:sz w:val="24"/>
          <w:szCs w:val="24"/>
        </w:rPr>
        <w:t>Of these</w:t>
      </w:r>
      <w:r w:rsidR="00DD2CAC">
        <w:rPr>
          <w:rFonts w:ascii="Times New Roman" w:eastAsia="Arial Unicode MS" w:hAnsi="Times New Roman"/>
          <w:sz w:val="24"/>
          <w:szCs w:val="24"/>
        </w:rPr>
        <w:t>,</w:t>
      </w:r>
      <w:r w:rsidR="00F55695">
        <w:rPr>
          <w:rFonts w:ascii="Times New Roman" w:eastAsia="Arial Unicode MS" w:hAnsi="Times New Roman"/>
          <w:sz w:val="24"/>
          <w:szCs w:val="24"/>
        </w:rPr>
        <w:t xml:space="preserve"> 150 participants were men </w:t>
      </w:r>
      <w:r w:rsidR="008A36F9">
        <w:rPr>
          <w:rFonts w:ascii="Times New Roman" w:eastAsia="Arial Unicode MS" w:hAnsi="Times New Roman"/>
          <w:sz w:val="24"/>
          <w:szCs w:val="24"/>
        </w:rPr>
        <w:t xml:space="preserve">(71%) </w:t>
      </w:r>
      <w:r w:rsidR="00F55695">
        <w:rPr>
          <w:rFonts w:ascii="Times New Roman" w:eastAsia="Arial Unicode MS" w:hAnsi="Times New Roman"/>
          <w:sz w:val="24"/>
          <w:szCs w:val="24"/>
        </w:rPr>
        <w:t>and 62 were women</w:t>
      </w:r>
      <w:r w:rsidR="008A36F9">
        <w:rPr>
          <w:rFonts w:ascii="Times New Roman" w:eastAsia="Arial Unicode MS" w:hAnsi="Times New Roman"/>
          <w:sz w:val="24"/>
          <w:szCs w:val="24"/>
        </w:rPr>
        <w:t xml:space="preserve"> (29%)</w:t>
      </w:r>
      <w:r w:rsidR="00F55695">
        <w:rPr>
          <w:rFonts w:ascii="Times New Roman" w:eastAsia="Arial Unicode MS" w:hAnsi="Times New Roman"/>
          <w:sz w:val="24"/>
          <w:szCs w:val="24"/>
        </w:rPr>
        <w:t>.</w:t>
      </w:r>
    </w:p>
    <w:p w:rsidR="001303FA" w:rsidRPr="00DB1D2C" w:rsidRDefault="007B0875" w:rsidP="00E827D7">
      <w:pPr>
        <w:pStyle w:val="NormalWeb"/>
        <w:shd w:val="clear" w:color="auto" w:fill="FFFFFF"/>
        <w:spacing w:after="0" w:afterAutospacing="0"/>
        <w:jc w:val="both"/>
        <w:rPr>
          <w:b w:val="0"/>
        </w:rPr>
      </w:pPr>
      <w:r w:rsidRPr="00DB1D2C">
        <w:rPr>
          <w:b w:val="0"/>
          <w:noProof/>
        </w:rPr>
        <w:lastRenderedPageBreak/>
        <w:drawing>
          <wp:anchor distT="0" distB="0" distL="114300" distR="114300" simplePos="0" relativeHeight="251659776" behindDoc="1" locked="0" layoutInCell="1" allowOverlap="1" wp14:anchorId="6706298C" wp14:editId="7274E049">
            <wp:simplePos x="0" y="0"/>
            <wp:positionH relativeFrom="margin">
              <wp:align>left</wp:align>
            </wp:positionH>
            <wp:positionV relativeFrom="paragraph">
              <wp:posOffset>63500</wp:posOffset>
            </wp:positionV>
            <wp:extent cx="3797300" cy="217170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6C4D">
        <w:rPr>
          <w:noProof/>
        </w:rPr>
        <mc:AlternateContent>
          <mc:Choice Requires="wps">
            <w:drawing>
              <wp:anchor distT="0" distB="0" distL="114300" distR="114300" simplePos="0" relativeHeight="251661824" behindDoc="0" locked="0" layoutInCell="1" allowOverlap="1" wp14:anchorId="71FE94D0" wp14:editId="4E9FE593">
                <wp:simplePos x="0" y="0"/>
                <wp:positionH relativeFrom="margin">
                  <wp:align>left</wp:align>
                </wp:positionH>
                <wp:positionV relativeFrom="paragraph">
                  <wp:posOffset>2396490</wp:posOffset>
                </wp:positionV>
                <wp:extent cx="3797300" cy="1587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797300" cy="158750"/>
                        </a:xfrm>
                        <a:prstGeom prst="rect">
                          <a:avLst/>
                        </a:prstGeom>
                        <a:solidFill>
                          <a:prstClr val="white"/>
                        </a:solidFill>
                        <a:ln>
                          <a:noFill/>
                        </a:ln>
                        <a:effectLst/>
                      </wps:spPr>
                      <wps:txbx>
                        <w:txbxContent>
                          <w:p w:rsidR="007B0875" w:rsidRPr="007E153E" w:rsidRDefault="007B0875" w:rsidP="00D45B6A">
                            <w:pPr>
                              <w:pStyle w:val="Caption"/>
                              <w:rPr>
                                <w:noProof/>
                                <w:sz w:val="24"/>
                                <w:szCs w:val="24"/>
                              </w:rPr>
                            </w:pPr>
                            <w:r>
                              <w:t xml:space="preserve">Figure </w:t>
                            </w:r>
                            <w:r>
                              <w:fldChar w:fldCharType="begin"/>
                            </w:r>
                            <w:r>
                              <w:instrText xml:space="preserve"> SEQ Figure \* ARABIC </w:instrText>
                            </w:r>
                            <w:r>
                              <w:fldChar w:fldCharType="separate"/>
                            </w:r>
                            <w:r>
                              <w:rPr>
                                <w:noProof/>
                              </w:rPr>
                              <w:t>2</w:t>
                            </w:r>
                            <w:r>
                              <w:fldChar w:fldCharType="end"/>
                            </w:r>
                            <w:r>
                              <w:t>:  Responses on Statements on Ethics, Integrity and Professionalism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FE94D0" id="Text Box 2" o:spid="_x0000_s1027" type="#_x0000_t202" style="position:absolute;left:0;text-align:left;margin-left:0;margin-top:188.7pt;width:299pt;height:12.5pt;z-index:2516618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" stroked="f">
                <v:textbox inset="0,0,0,0">
                  <w:txbxContent>
                    <w:p w:rsidR="007B0875" w:rsidRPr="007E153E" w:rsidRDefault="007B0875" w:rsidP="00D45B6A">
                      <w:pPr>
                        <w:pStyle w:val="Caption"/>
                        <w:rPr>
                          <w:noProof/>
                          <w:sz w:val="24"/>
                          <w:szCs w:val="24"/>
                        </w:rPr>
                      </w:pPr>
                      <w:r>
                        <w:t xml:space="preserve">Figure </w:t>
                      </w:r>
                      <w:r>
                        <w:fldChar w:fldCharType="begin"/>
                      </w:r>
                      <w:r>
                        <w:instrText xml:space="preserve"> SEQ Figure \* ARABIC </w:instrText>
                      </w:r>
                      <w:r>
                        <w:fldChar w:fldCharType="separate"/>
                      </w:r>
                      <w:r>
                        <w:rPr>
                          <w:noProof/>
                        </w:rPr>
                        <w:t>2</w:t>
                      </w:r>
                      <w:r>
                        <w:fldChar w:fldCharType="end"/>
                      </w:r>
                      <w:r>
                        <w:t>:  Responses on Statements on Ethics, Integrity and Professionalism</w:t>
                      </w:r>
                    </w:p>
                  </w:txbxContent>
                </v:textbox>
                <w10:wrap type="square" anchorx="margin"/>
              </v:shape>
            </w:pict>
          </mc:Fallback>
        </mc:AlternateContent>
      </w:r>
      <w:r w:rsidR="008E3375" w:rsidRPr="00DB1D2C">
        <w:rPr>
          <w:b w:val="0"/>
        </w:rPr>
        <w:t xml:space="preserve">The training validated most of the Survey </w:t>
      </w:r>
      <w:r w:rsidR="00CF5D6A" w:rsidRPr="00DB1D2C">
        <w:rPr>
          <w:b w:val="0"/>
        </w:rPr>
        <w:t xml:space="preserve">findings.  </w:t>
      </w:r>
      <w:r w:rsidR="00405A58" w:rsidRPr="00DB1D2C">
        <w:rPr>
          <w:b w:val="0"/>
        </w:rPr>
        <w:t>On ethics, integrity and professionalism, a number of statements were tes</w:t>
      </w:r>
      <w:r w:rsidR="00D45B6A">
        <w:rPr>
          <w:b w:val="0"/>
        </w:rPr>
        <w:t>t</w:t>
      </w:r>
      <w:r w:rsidR="00506C4D">
        <w:rPr>
          <w:b w:val="0"/>
        </w:rPr>
        <w:t>ed to the three groups. Figure 2</w:t>
      </w:r>
      <w:r w:rsidR="00405A58" w:rsidRPr="00DB1D2C">
        <w:rPr>
          <w:b w:val="0"/>
        </w:rPr>
        <w:t xml:space="preserve"> shows the responses. </w:t>
      </w:r>
      <w:r w:rsidR="001303FA" w:rsidRPr="00DB1D2C">
        <w:rPr>
          <w:b w:val="0"/>
        </w:rPr>
        <w:t>Only 37%</w:t>
      </w:r>
      <w:r w:rsidR="00405A58" w:rsidRPr="00DB1D2C">
        <w:rPr>
          <w:b w:val="0"/>
        </w:rPr>
        <w:t xml:space="preserve"> of PSs</w:t>
      </w:r>
      <w:r w:rsidR="001303FA" w:rsidRPr="00DB1D2C">
        <w:rPr>
          <w:b w:val="0"/>
        </w:rPr>
        <w:t xml:space="preserve"> totally </w:t>
      </w:r>
      <w:r w:rsidR="00405A58" w:rsidRPr="00DB1D2C">
        <w:rPr>
          <w:b w:val="0"/>
        </w:rPr>
        <w:t xml:space="preserve">agreed that the public service is as ethical </w:t>
      </w:r>
      <w:r w:rsidR="00E827D7" w:rsidRPr="00DB1D2C">
        <w:rPr>
          <w:b w:val="0"/>
        </w:rPr>
        <w:t xml:space="preserve">in the multiparty era </w:t>
      </w:r>
      <w:r w:rsidR="00405A58" w:rsidRPr="00DB1D2C">
        <w:rPr>
          <w:b w:val="0"/>
        </w:rPr>
        <w:t>as it was in the one party era</w:t>
      </w:r>
      <w:r w:rsidR="00E827D7" w:rsidRPr="00DB1D2C">
        <w:rPr>
          <w:b w:val="0"/>
        </w:rPr>
        <w:t>.  Corresponding percentages are 45% for</w:t>
      </w:r>
      <w:r w:rsidR="001303FA" w:rsidRPr="00DB1D2C">
        <w:rPr>
          <w:b w:val="0"/>
        </w:rPr>
        <w:t xml:space="preserve"> </w:t>
      </w:r>
      <w:r w:rsidR="00405A58" w:rsidRPr="00DB1D2C">
        <w:rPr>
          <w:b w:val="0"/>
        </w:rPr>
        <w:t>directors/chief accountants/chief systems analysts</w:t>
      </w:r>
      <w:r w:rsidR="001303FA" w:rsidRPr="00DB1D2C">
        <w:rPr>
          <w:b w:val="0"/>
        </w:rPr>
        <w:t xml:space="preserve"> and </w:t>
      </w:r>
      <w:r w:rsidR="00E827D7" w:rsidRPr="00DB1D2C">
        <w:rPr>
          <w:b w:val="0"/>
        </w:rPr>
        <w:t>4% for trainer of trainers</w:t>
      </w:r>
      <w:r w:rsidR="00DD2CAC">
        <w:rPr>
          <w:b w:val="0"/>
        </w:rPr>
        <w:t xml:space="preserve">.  </w:t>
      </w:r>
      <w:r w:rsidR="001303FA" w:rsidRPr="00DB1D2C">
        <w:rPr>
          <w:b w:val="0"/>
        </w:rPr>
        <w:t xml:space="preserve">Only 30% of PSs consider the public service to be </w:t>
      </w:r>
      <w:r w:rsidR="00405A58" w:rsidRPr="00DB1D2C">
        <w:rPr>
          <w:b w:val="0"/>
        </w:rPr>
        <w:t>transparen</w:t>
      </w:r>
      <w:r w:rsidR="001303FA" w:rsidRPr="00DB1D2C">
        <w:rPr>
          <w:b w:val="0"/>
        </w:rPr>
        <w:t>t</w:t>
      </w:r>
      <w:r w:rsidR="00405A58" w:rsidRPr="00DB1D2C">
        <w:rPr>
          <w:b w:val="0"/>
        </w:rPr>
        <w:t xml:space="preserve"> and accountab</w:t>
      </w:r>
      <w:r w:rsidR="001303FA" w:rsidRPr="00DB1D2C">
        <w:rPr>
          <w:b w:val="0"/>
        </w:rPr>
        <w:t>le, with 0% for the other two categories.  Regarding professionalism, 57% of PSs view</w:t>
      </w:r>
      <w:r w:rsidR="00506C4D">
        <w:rPr>
          <w:b w:val="0"/>
        </w:rPr>
        <w:t>ed</w:t>
      </w:r>
      <w:r w:rsidR="001303FA" w:rsidRPr="00DB1D2C">
        <w:rPr>
          <w:b w:val="0"/>
        </w:rPr>
        <w:t xml:space="preserve"> the public service as being professional, 35% (directors/chief accountants/chief systems analysts) and 4% (Trainer of Trainer</w:t>
      </w:r>
      <w:r w:rsidR="00506C4D">
        <w:rPr>
          <w:b w:val="0"/>
        </w:rPr>
        <w:t>s).  Percentages for integrity we</w:t>
      </w:r>
      <w:r w:rsidR="001303FA" w:rsidRPr="00DB1D2C">
        <w:rPr>
          <w:b w:val="0"/>
        </w:rPr>
        <w:t>re 30%, 12% and 4%, respectively.</w:t>
      </w:r>
      <w:r w:rsidR="00E827D7" w:rsidRPr="00DB1D2C">
        <w:rPr>
          <w:b w:val="0"/>
        </w:rPr>
        <w:t xml:space="preserve">  </w:t>
      </w:r>
      <w:r w:rsidR="00506C4D">
        <w:rPr>
          <w:b w:val="0"/>
        </w:rPr>
        <w:t>The responses above suggest that m</w:t>
      </w:r>
      <w:r w:rsidR="00E827D7" w:rsidRPr="00DB1D2C">
        <w:rPr>
          <w:b w:val="0"/>
        </w:rPr>
        <w:t>ore needs to be done to bring the public service back to what it was during the one party era.</w:t>
      </w:r>
    </w:p>
    <w:p w:rsidR="00E827D7" w:rsidRPr="00DB1D2C" w:rsidRDefault="00E827D7" w:rsidP="00E827D7">
      <w:pPr>
        <w:pStyle w:val="NormalWeb"/>
        <w:shd w:val="clear" w:color="auto" w:fill="FFFFFF"/>
        <w:spacing w:after="0" w:afterAutospacing="0"/>
        <w:jc w:val="both"/>
        <w:rPr>
          <w:b w:val="0"/>
        </w:rPr>
      </w:pPr>
      <w:r w:rsidRPr="00DB1D2C">
        <w:rPr>
          <w:b w:val="0"/>
        </w:rPr>
        <w:t xml:space="preserve">On suspected wrongdoings reported and dealt with, the </w:t>
      </w:r>
      <w:r w:rsidR="00C90AC8" w:rsidRPr="00DB1D2C">
        <w:rPr>
          <w:b w:val="0"/>
        </w:rPr>
        <w:t xml:space="preserve">fact that some </w:t>
      </w:r>
      <w:r w:rsidR="00C90AC8" w:rsidRPr="00DB1D2C">
        <w:rPr>
          <w:b w:val="0"/>
          <w:i/>
        </w:rPr>
        <w:t>“cashgate scandal”</w:t>
      </w:r>
      <w:r w:rsidR="00C90AC8" w:rsidRPr="00DB1D2C">
        <w:rPr>
          <w:b w:val="0"/>
        </w:rPr>
        <w:t xml:space="preserve"> culprits are </w:t>
      </w:r>
      <w:r w:rsidR="009C7451">
        <w:rPr>
          <w:b w:val="0"/>
        </w:rPr>
        <w:t xml:space="preserve">being prosecuted </w:t>
      </w:r>
      <w:r w:rsidR="00DD2CAC">
        <w:rPr>
          <w:b w:val="0"/>
        </w:rPr>
        <w:t xml:space="preserve">through the courts </w:t>
      </w:r>
      <w:r w:rsidR="00C90AC8" w:rsidRPr="00DB1D2C">
        <w:rPr>
          <w:b w:val="0"/>
        </w:rPr>
        <w:t xml:space="preserve">is a positive development.  In addition, </w:t>
      </w:r>
      <w:r w:rsidR="00DD2CAC">
        <w:rPr>
          <w:b w:val="0"/>
        </w:rPr>
        <w:t xml:space="preserve">an increasing number </w:t>
      </w:r>
      <w:r w:rsidR="00C90AC8" w:rsidRPr="00DB1D2C">
        <w:rPr>
          <w:b w:val="0"/>
        </w:rPr>
        <w:t>of Malawians are now demanding accountability</w:t>
      </w:r>
      <w:r w:rsidR="00F40CD0">
        <w:rPr>
          <w:b w:val="0"/>
        </w:rPr>
        <w:t xml:space="preserve"> for</w:t>
      </w:r>
      <w:r w:rsidR="00C90AC8" w:rsidRPr="00DB1D2C">
        <w:rPr>
          <w:b w:val="0"/>
        </w:rPr>
        <w:t xml:space="preserve"> both </w:t>
      </w:r>
      <w:r w:rsidR="00F40CD0">
        <w:rPr>
          <w:b w:val="0"/>
        </w:rPr>
        <w:t xml:space="preserve">utilization of public </w:t>
      </w:r>
      <w:r w:rsidR="00C75F06">
        <w:rPr>
          <w:b w:val="0"/>
        </w:rPr>
        <w:t>finances</w:t>
      </w:r>
      <w:r w:rsidR="00C90AC8" w:rsidRPr="00DB1D2C">
        <w:rPr>
          <w:b w:val="0"/>
        </w:rPr>
        <w:t xml:space="preserve"> and </w:t>
      </w:r>
      <w:r w:rsidR="00C75F06">
        <w:rPr>
          <w:b w:val="0"/>
        </w:rPr>
        <w:t>service delivery</w:t>
      </w:r>
      <w:r w:rsidR="00F40CD0">
        <w:rPr>
          <w:b w:val="0"/>
        </w:rPr>
        <w:t xml:space="preserve"> from the duty bearers</w:t>
      </w:r>
      <w:r w:rsidR="00C90AC8" w:rsidRPr="00DB1D2C">
        <w:rPr>
          <w:b w:val="0"/>
        </w:rPr>
        <w:t xml:space="preserve">.  The </w:t>
      </w:r>
      <w:r w:rsidR="00C75F06">
        <w:rPr>
          <w:b w:val="0"/>
        </w:rPr>
        <w:t>Benchmarking T</w:t>
      </w:r>
      <w:r w:rsidR="00C90AC8" w:rsidRPr="00DB1D2C">
        <w:rPr>
          <w:b w:val="0"/>
        </w:rPr>
        <w:t xml:space="preserve">our of the </w:t>
      </w:r>
      <w:r w:rsidR="00C75F06">
        <w:rPr>
          <w:b w:val="0"/>
        </w:rPr>
        <w:t>Commission</w:t>
      </w:r>
      <w:r w:rsidR="00241CAD">
        <w:rPr>
          <w:b w:val="0"/>
        </w:rPr>
        <w:t>er</w:t>
      </w:r>
      <w:r w:rsidR="00C75F06">
        <w:rPr>
          <w:b w:val="0"/>
        </w:rPr>
        <w:t>s already referred to above</w:t>
      </w:r>
      <w:r w:rsidR="00C90AC8" w:rsidRPr="00DB1D2C">
        <w:rPr>
          <w:b w:val="0"/>
        </w:rPr>
        <w:t>, under South-South Triangula</w:t>
      </w:r>
      <w:r w:rsidR="007148A1" w:rsidRPr="00DB1D2C">
        <w:rPr>
          <w:b w:val="0"/>
        </w:rPr>
        <w:t>r</w:t>
      </w:r>
      <w:r w:rsidR="00C90AC8" w:rsidRPr="00DB1D2C">
        <w:rPr>
          <w:b w:val="0"/>
        </w:rPr>
        <w:t xml:space="preserve"> Cooperation, </w:t>
      </w:r>
      <w:r w:rsidR="00C75F06">
        <w:rPr>
          <w:b w:val="0"/>
        </w:rPr>
        <w:t xml:space="preserve">demonstrate </w:t>
      </w:r>
      <w:r w:rsidR="00C90AC8" w:rsidRPr="00DB1D2C">
        <w:rPr>
          <w:b w:val="0"/>
        </w:rPr>
        <w:t xml:space="preserve">Government’s continued </w:t>
      </w:r>
      <w:r w:rsidR="00784D9F">
        <w:rPr>
          <w:b w:val="0"/>
        </w:rPr>
        <w:t xml:space="preserve">commitment </w:t>
      </w:r>
      <w:r w:rsidR="00C90AC8" w:rsidRPr="00DB1D2C">
        <w:rPr>
          <w:b w:val="0"/>
        </w:rPr>
        <w:t>to once more professional</w:t>
      </w:r>
      <w:r w:rsidR="00784D9F">
        <w:rPr>
          <w:b w:val="0"/>
        </w:rPr>
        <w:t>ize</w:t>
      </w:r>
      <w:r w:rsidR="00C75F06" w:rsidRPr="00DB1D2C">
        <w:rPr>
          <w:b w:val="0"/>
        </w:rPr>
        <w:t xml:space="preserve"> the public service</w:t>
      </w:r>
      <w:r w:rsidR="00C90AC8" w:rsidRPr="00DB1D2C">
        <w:rPr>
          <w:b w:val="0"/>
        </w:rPr>
        <w:t xml:space="preserve">. </w:t>
      </w:r>
    </w:p>
    <w:p w:rsidR="00C90AC8" w:rsidRPr="00DB1D2C" w:rsidRDefault="00C90AC8" w:rsidP="00C16EED">
      <w:pPr>
        <w:pStyle w:val="ListParagraph"/>
        <w:spacing w:after="0"/>
        <w:ind w:left="0"/>
        <w:rPr>
          <w:rFonts w:ascii="Times New Roman" w:hAnsi="Times New Roman"/>
          <w:b/>
          <w:bCs/>
          <w:sz w:val="24"/>
          <w:szCs w:val="24"/>
        </w:rPr>
      </w:pPr>
    </w:p>
    <w:p w:rsidR="007148A1" w:rsidRPr="00DB1D2C" w:rsidRDefault="00BF59FE" w:rsidP="007148A1">
      <w:pPr>
        <w:pStyle w:val="ListParagraph"/>
        <w:spacing w:after="0"/>
        <w:ind w:left="0"/>
        <w:jc w:val="both"/>
        <w:rPr>
          <w:rFonts w:ascii="Times New Roman" w:hAnsi="Times New Roman"/>
          <w:bCs/>
          <w:sz w:val="24"/>
          <w:szCs w:val="24"/>
        </w:rPr>
      </w:pPr>
      <w:r>
        <w:rPr>
          <w:rFonts w:ascii="Times New Roman" w:hAnsi="Times New Roman"/>
          <w:bCs/>
          <w:sz w:val="24"/>
          <w:szCs w:val="24"/>
        </w:rPr>
        <w:t>C</w:t>
      </w:r>
      <w:r w:rsidR="007148A1" w:rsidRPr="00DB1D2C">
        <w:rPr>
          <w:rFonts w:ascii="Times New Roman" w:hAnsi="Times New Roman"/>
          <w:bCs/>
          <w:sz w:val="24"/>
          <w:szCs w:val="24"/>
        </w:rPr>
        <w:t xml:space="preserve">omplementing </w:t>
      </w:r>
      <w:r w:rsidR="00F95731">
        <w:rPr>
          <w:rFonts w:ascii="Times New Roman" w:hAnsi="Times New Roman"/>
          <w:bCs/>
          <w:sz w:val="24"/>
          <w:szCs w:val="24"/>
        </w:rPr>
        <w:t xml:space="preserve">activities of the </w:t>
      </w:r>
      <w:r w:rsidR="007148A1" w:rsidRPr="00DB1D2C">
        <w:rPr>
          <w:rFonts w:ascii="Times New Roman" w:hAnsi="Times New Roman"/>
          <w:bCs/>
          <w:sz w:val="24"/>
          <w:szCs w:val="24"/>
        </w:rPr>
        <w:t>Commissioner</w:t>
      </w:r>
      <w:r>
        <w:rPr>
          <w:rFonts w:ascii="Times New Roman" w:hAnsi="Times New Roman"/>
          <w:bCs/>
          <w:sz w:val="24"/>
          <w:szCs w:val="24"/>
        </w:rPr>
        <w:t>s</w:t>
      </w:r>
      <w:r w:rsidR="007148A1" w:rsidRPr="00DB1D2C">
        <w:rPr>
          <w:rFonts w:ascii="Times New Roman" w:hAnsi="Times New Roman"/>
          <w:bCs/>
          <w:sz w:val="24"/>
          <w:szCs w:val="24"/>
        </w:rPr>
        <w:t xml:space="preserve">, the Public Sector Reforms Management Unit organized a Principal Secretaries and Heads of Independent and Governance Institutions Retreat held at Sunbird Nkopola from December 15 – 16, 2014.  The Retreat was officially opened by the Vice President who is also responsible for steering public service reforms.  The purpose of the Retreat was to update these senior officials on the rationale of the Public Service Reform Program.  Specifically, the Retreat looked at managing misconduct and discipline within the public service, performance management, enforcement of rewards and sanctions, and entrenchment of ethics and integrity in a post </w:t>
      </w:r>
      <w:r w:rsidR="007148A1" w:rsidRPr="00DB1D2C">
        <w:rPr>
          <w:rFonts w:ascii="Times New Roman" w:hAnsi="Times New Roman"/>
          <w:bCs/>
          <w:i/>
          <w:sz w:val="24"/>
          <w:szCs w:val="24"/>
        </w:rPr>
        <w:t>“cashgate</w:t>
      </w:r>
      <w:r w:rsidR="00B15C36">
        <w:rPr>
          <w:rFonts w:ascii="Times New Roman" w:hAnsi="Times New Roman"/>
          <w:bCs/>
          <w:i/>
          <w:sz w:val="24"/>
          <w:szCs w:val="24"/>
        </w:rPr>
        <w:t xml:space="preserve"> scandal</w:t>
      </w:r>
      <w:r w:rsidR="007148A1" w:rsidRPr="00DB1D2C">
        <w:rPr>
          <w:rFonts w:ascii="Times New Roman" w:hAnsi="Times New Roman"/>
          <w:bCs/>
          <w:i/>
          <w:sz w:val="24"/>
          <w:szCs w:val="24"/>
        </w:rPr>
        <w:t>”</w:t>
      </w:r>
      <w:r w:rsidR="007148A1" w:rsidRPr="00DB1D2C">
        <w:rPr>
          <w:rFonts w:ascii="Times New Roman" w:hAnsi="Times New Roman"/>
          <w:bCs/>
          <w:sz w:val="24"/>
          <w:szCs w:val="24"/>
        </w:rPr>
        <w:t xml:space="preserve"> era.</w:t>
      </w:r>
    </w:p>
    <w:p w:rsidR="007148A1" w:rsidRDefault="007148A1" w:rsidP="00C16EED">
      <w:pPr>
        <w:pStyle w:val="ListParagraph"/>
        <w:spacing w:after="0"/>
        <w:ind w:left="0"/>
        <w:rPr>
          <w:rFonts w:ascii="Times New Roman" w:hAnsi="Times New Roman"/>
          <w:bCs/>
          <w:sz w:val="24"/>
          <w:szCs w:val="24"/>
        </w:rPr>
      </w:pPr>
    </w:p>
    <w:p w:rsidR="007B0875" w:rsidRDefault="007B0875" w:rsidP="00C16EED">
      <w:pPr>
        <w:pStyle w:val="ListParagraph"/>
        <w:spacing w:after="0"/>
        <w:ind w:left="0"/>
        <w:rPr>
          <w:rFonts w:ascii="Times New Roman" w:hAnsi="Times New Roman"/>
          <w:bCs/>
          <w:sz w:val="24"/>
          <w:szCs w:val="24"/>
        </w:rPr>
      </w:pPr>
    </w:p>
    <w:p w:rsidR="007B0875" w:rsidRPr="00DB1D2C" w:rsidRDefault="007B0875" w:rsidP="00C16EED">
      <w:pPr>
        <w:pStyle w:val="ListParagraph"/>
        <w:spacing w:after="0"/>
        <w:ind w:left="0"/>
        <w:rPr>
          <w:rFonts w:ascii="Times New Roman" w:hAnsi="Times New Roman"/>
          <w:bCs/>
          <w:sz w:val="24"/>
          <w:szCs w:val="24"/>
        </w:rPr>
      </w:pPr>
    </w:p>
    <w:p w:rsidR="00A90912" w:rsidRPr="00DB1D2C" w:rsidRDefault="00A90912" w:rsidP="00A90912">
      <w:pPr>
        <w:jc w:val="both"/>
        <w:rPr>
          <w:bCs/>
        </w:rPr>
      </w:pPr>
      <w:r w:rsidRPr="00DB1D2C">
        <w:rPr>
          <w:b/>
          <w:bCs/>
        </w:rPr>
        <w:lastRenderedPageBreak/>
        <w:t>Output 3:</w:t>
      </w:r>
      <w:r w:rsidRPr="00DB1D2C">
        <w:rPr>
          <w:bCs/>
        </w:rPr>
        <w:t xml:space="preserve"> Human resource planning and management enhanced to improve recruitment and promotion systems within the public service</w:t>
      </w:r>
    </w:p>
    <w:p w:rsidR="00A90912" w:rsidRPr="00DB1D2C" w:rsidRDefault="00A90912" w:rsidP="00A90912">
      <w:pPr>
        <w:jc w:val="both"/>
        <w:rPr>
          <w:bCs/>
          <w:i/>
        </w:rPr>
      </w:pPr>
    </w:p>
    <w:p w:rsidR="00A90912" w:rsidRPr="00DB1D2C" w:rsidRDefault="00A90912" w:rsidP="003003B8">
      <w:pPr>
        <w:pStyle w:val="ListParagraph"/>
        <w:numPr>
          <w:ilvl w:val="0"/>
          <w:numId w:val="38"/>
        </w:numPr>
        <w:jc w:val="both"/>
        <w:rPr>
          <w:rFonts w:ascii="Times New Roman" w:hAnsi="Times New Roman"/>
          <w:bCs/>
          <w:sz w:val="24"/>
          <w:szCs w:val="24"/>
        </w:rPr>
      </w:pPr>
      <w:r w:rsidRPr="00DB1D2C">
        <w:rPr>
          <w:rFonts w:ascii="Times New Roman" w:hAnsi="Times New Roman"/>
          <w:b/>
          <w:bCs/>
          <w:i/>
          <w:sz w:val="24"/>
          <w:szCs w:val="24"/>
        </w:rPr>
        <w:t>Indicator 1:</w:t>
      </w:r>
      <w:r w:rsidRPr="00DB1D2C">
        <w:rPr>
          <w:rFonts w:ascii="Times New Roman" w:hAnsi="Times New Roman"/>
          <w:bCs/>
          <w:i/>
          <w:sz w:val="24"/>
          <w:szCs w:val="24"/>
        </w:rPr>
        <w:t xml:space="preserve">  </w:t>
      </w:r>
      <w:r w:rsidRPr="00DB1D2C">
        <w:rPr>
          <w:rFonts w:ascii="Times New Roman" w:hAnsi="Times New Roman"/>
          <w:bCs/>
          <w:sz w:val="24"/>
          <w:szCs w:val="24"/>
        </w:rPr>
        <w:t>Final National Human Resource Survey Report produced and disseminated.</w:t>
      </w:r>
    </w:p>
    <w:p w:rsidR="00A90912" w:rsidRPr="00DB1D2C" w:rsidRDefault="00623138" w:rsidP="00A90912">
      <w:pPr>
        <w:jc w:val="both"/>
      </w:pPr>
      <w:r>
        <w:rPr>
          <w:i/>
        </w:rPr>
        <w:t>This output was f</w:t>
      </w:r>
      <w:r w:rsidR="00A90912" w:rsidRPr="00DB1D2C">
        <w:rPr>
          <w:i/>
        </w:rPr>
        <w:t>ully met</w:t>
      </w:r>
      <w:r w:rsidR="00A90912" w:rsidRPr="00DB1D2C">
        <w:rPr>
          <w:b/>
          <w:i/>
        </w:rPr>
        <w:t>.</w:t>
      </w:r>
      <w:r w:rsidR="00A90912" w:rsidRPr="00DB1D2C">
        <w:t xml:space="preserve">  This activi</w:t>
      </w:r>
      <w:r w:rsidR="00241CAD">
        <w:t>ty was carried forward from 2013</w:t>
      </w:r>
      <w:r w:rsidR="00A90912" w:rsidRPr="00DB1D2C">
        <w:t xml:space="preserve">.  On July 31, 2014, the Staff Development Institute presented findings </w:t>
      </w:r>
      <w:r w:rsidR="007C5F8E">
        <w:t>from</w:t>
      </w:r>
      <w:r w:rsidR="00A90912" w:rsidRPr="00DB1D2C">
        <w:t xml:space="preserve"> the National Human Resource Survey</w:t>
      </w:r>
      <w:r w:rsidR="007C5F8E">
        <w:t xml:space="preserve"> (NHRS)</w:t>
      </w:r>
      <w:r w:rsidR="00A90912" w:rsidRPr="00DB1D2C">
        <w:t xml:space="preserve"> findings and recommendations at a workshop held at Bingu International Conference Center (BICC).  This was the second comprehensive survey of Malawi’s human resource stock since </w:t>
      </w:r>
      <w:r w:rsidR="00241CAD">
        <w:t>the last one in 1</w:t>
      </w:r>
      <w:r w:rsidR="00A90912" w:rsidRPr="00DB1D2C">
        <w:t xml:space="preserve">988.  Giving some remarks, the Principal Secretary for the Department of Human Resource Management and Development stated that </w:t>
      </w:r>
      <w:r w:rsidR="007C5F8E">
        <w:t xml:space="preserve">the </w:t>
      </w:r>
      <w:r w:rsidR="00A90912" w:rsidRPr="00DB1D2C">
        <w:t>Survey was designed to guide the Government, private sector, civil society organizations and training institutions on how to invest in critical human resource with the view to contributing growth and employment potential of the country.  In her remarks, the Deputy Resident Representative for UNDP stated that with the doubling of the population, increase in scope of the private sector and non-governmental organizations sector, an audit of the available skills was required to move forward Malawi’s development agend</w:t>
      </w:r>
      <w:r w:rsidR="007C5F8E">
        <w:t xml:space="preserve">a.  </w:t>
      </w:r>
    </w:p>
    <w:p w:rsidR="00A90912" w:rsidRPr="00DB1D2C" w:rsidRDefault="00A90912" w:rsidP="00A90912">
      <w:pPr>
        <w:jc w:val="both"/>
      </w:pPr>
    </w:p>
    <w:p w:rsidR="00A90912" w:rsidRPr="00DB1D2C" w:rsidRDefault="00A90912" w:rsidP="00A90912">
      <w:pPr>
        <w:jc w:val="both"/>
      </w:pPr>
      <w:r w:rsidRPr="00DB1D2C">
        <w:t xml:space="preserve">A number of recommendations were made for both the public sector and training institutions.  Key among them was the need to institutionalize </w:t>
      </w:r>
      <w:r w:rsidR="00241CAD">
        <w:t>these</w:t>
      </w:r>
      <w:r w:rsidRPr="00DB1D2C">
        <w:t xml:space="preserve"> surveys.  Suggestions were made that the Government should have annual update of the available skills and conduct comprehensive surveys every five years.  This institutionalization will to prevent the scenario of waiting over two decades</w:t>
      </w:r>
      <w:r w:rsidR="007C5F8E">
        <w:t xml:space="preserve"> to carry out a </w:t>
      </w:r>
      <w:r w:rsidR="00241CAD">
        <w:t xml:space="preserve">similar </w:t>
      </w:r>
      <w:r w:rsidR="007C5F8E">
        <w:t>survey</w:t>
      </w:r>
      <w:r w:rsidRPr="00DB1D2C">
        <w:t>.  Regarding training institutions, it was agreed that there should be regular reviews of the curriculum to respond to the employment needs of the various sectors.  Also, it was</w:t>
      </w:r>
      <w:r w:rsidR="00241CAD">
        <w:t xml:space="preserve"> observed</w:t>
      </w:r>
      <w:r w:rsidRPr="00DB1D2C">
        <w:t xml:space="preserve"> that Malawi needs more of vocational training as this provides skills that could be immediately utilized.</w:t>
      </w:r>
    </w:p>
    <w:p w:rsidR="00A90912" w:rsidRPr="00A1557A" w:rsidRDefault="00A90912" w:rsidP="00C16EED">
      <w:pPr>
        <w:pStyle w:val="ListParagraph"/>
        <w:spacing w:after="0"/>
        <w:ind w:left="0"/>
        <w:rPr>
          <w:rFonts w:ascii="Times New Roman" w:hAnsi="Times New Roman"/>
          <w:b/>
          <w:bCs/>
          <w:sz w:val="24"/>
          <w:szCs w:val="24"/>
        </w:rPr>
      </w:pPr>
    </w:p>
    <w:p w:rsidR="00C16EED" w:rsidRPr="00A1557A" w:rsidRDefault="00C90AC8" w:rsidP="00C16EED">
      <w:pPr>
        <w:pStyle w:val="ListParagraph"/>
        <w:spacing w:after="0"/>
        <w:ind w:left="0"/>
        <w:rPr>
          <w:rFonts w:ascii="Times New Roman" w:hAnsi="Times New Roman"/>
          <w:bCs/>
          <w:sz w:val="24"/>
          <w:szCs w:val="24"/>
        </w:rPr>
      </w:pPr>
      <w:r w:rsidRPr="00A1557A">
        <w:rPr>
          <w:rFonts w:ascii="Times New Roman" w:hAnsi="Times New Roman"/>
          <w:b/>
          <w:bCs/>
          <w:sz w:val="24"/>
          <w:szCs w:val="24"/>
        </w:rPr>
        <w:t>Output 4:</w:t>
      </w:r>
      <w:r w:rsidRPr="00A1557A">
        <w:rPr>
          <w:rFonts w:ascii="Times New Roman" w:hAnsi="Times New Roman"/>
          <w:bCs/>
          <w:sz w:val="24"/>
          <w:szCs w:val="24"/>
        </w:rPr>
        <w:t xml:space="preserve"> Information communication technology and e-government policy and standards strengthened for increased public service application</w:t>
      </w:r>
      <w:r w:rsidR="000F052E" w:rsidRPr="00A1557A">
        <w:rPr>
          <w:rFonts w:ascii="Times New Roman" w:hAnsi="Times New Roman"/>
          <w:bCs/>
          <w:sz w:val="24"/>
          <w:szCs w:val="24"/>
        </w:rPr>
        <w:t>.</w:t>
      </w:r>
    </w:p>
    <w:p w:rsidR="00A1557A" w:rsidRPr="00A1557A" w:rsidRDefault="00A1557A" w:rsidP="00C16EED">
      <w:pPr>
        <w:pStyle w:val="ListParagraph"/>
        <w:spacing w:after="0"/>
        <w:ind w:left="0"/>
        <w:rPr>
          <w:rFonts w:ascii="Times New Roman" w:hAnsi="Times New Roman"/>
          <w:bCs/>
          <w:sz w:val="24"/>
          <w:szCs w:val="24"/>
        </w:rPr>
      </w:pPr>
    </w:p>
    <w:p w:rsidR="00A1557A" w:rsidRPr="00A1557A" w:rsidRDefault="00A1557A" w:rsidP="00A1557A">
      <w:pPr>
        <w:pStyle w:val="ListParagraph"/>
        <w:numPr>
          <w:ilvl w:val="0"/>
          <w:numId w:val="38"/>
        </w:numPr>
        <w:spacing w:after="0"/>
        <w:rPr>
          <w:rFonts w:ascii="Times New Roman" w:eastAsia="Times New Roman" w:hAnsi="Times New Roman"/>
          <w:sz w:val="24"/>
          <w:szCs w:val="24"/>
          <w:lang w:val="en-GB"/>
        </w:rPr>
      </w:pPr>
      <w:r w:rsidRPr="00A1557A">
        <w:rPr>
          <w:rFonts w:ascii="Times New Roman" w:eastAsia="Times New Roman" w:hAnsi="Times New Roman"/>
          <w:b/>
          <w:i/>
          <w:sz w:val="24"/>
          <w:szCs w:val="24"/>
          <w:lang w:val="en-GB"/>
        </w:rPr>
        <w:t>Indicator 1:</w:t>
      </w:r>
      <w:r w:rsidRPr="00A1557A">
        <w:rPr>
          <w:rFonts w:ascii="Times New Roman" w:eastAsia="Times New Roman" w:hAnsi="Times New Roman"/>
          <w:sz w:val="24"/>
          <w:szCs w:val="24"/>
          <w:lang w:val="en-GB"/>
        </w:rPr>
        <w:t xml:space="preserve">  Increased application of ICT/e-government in the public service.</w:t>
      </w:r>
    </w:p>
    <w:p w:rsidR="008E3375" w:rsidRPr="00A1557A" w:rsidRDefault="008E3375" w:rsidP="008E3375">
      <w:pPr>
        <w:jc w:val="both"/>
        <w:rPr>
          <w:b/>
          <w:i/>
          <w:lang w:val="en-GB"/>
        </w:rPr>
      </w:pPr>
    </w:p>
    <w:p w:rsidR="00CD50AD" w:rsidRPr="00DB1D2C" w:rsidRDefault="00317728" w:rsidP="008E3375">
      <w:pPr>
        <w:jc w:val="both"/>
      </w:pPr>
      <w:r w:rsidRPr="00A1557A">
        <w:rPr>
          <w:i/>
          <w:lang w:val="en-GB"/>
        </w:rPr>
        <w:t>The output was fully a</w:t>
      </w:r>
      <w:r w:rsidR="008E3375" w:rsidRPr="00A1557A">
        <w:rPr>
          <w:i/>
          <w:lang w:val="en-GB"/>
        </w:rPr>
        <w:t>chieved.</w:t>
      </w:r>
      <w:r w:rsidR="008E3375" w:rsidRPr="00A1557A">
        <w:rPr>
          <w:lang w:val="en-GB"/>
        </w:rPr>
        <w:t xml:space="preserve">  </w:t>
      </w:r>
      <w:r w:rsidR="00280881" w:rsidRPr="00A1557A">
        <w:t xml:space="preserve">This Output was included </w:t>
      </w:r>
      <w:r w:rsidR="009F3204" w:rsidRPr="00A1557A">
        <w:t xml:space="preserve">in the 2014 AWP </w:t>
      </w:r>
      <w:r w:rsidR="00280881" w:rsidRPr="00A1557A">
        <w:t xml:space="preserve">late </w:t>
      </w:r>
      <w:r w:rsidR="009F3204" w:rsidRPr="00A1557A">
        <w:t>in July following</w:t>
      </w:r>
      <w:r w:rsidR="009F3204" w:rsidRPr="00DB1D2C">
        <w:t xml:space="preserve"> additional $350,000 funding from TRAC II resources.  Realizing that most of public financial mismanagement was related to information technology systems, through the Department of E-Government, the Government contracted Chancellor College to train public servants on a number of </w:t>
      </w:r>
      <w:r w:rsidR="008E3375" w:rsidRPr="00DB1D2C">
        <w:t xml:space="preserve">IT </w:t>
      </w:r>
      <w:r w:rsidR="009F3204" w:rsidRPr="00DB1D2C">
        <w:t>modules</w:t>
      </w:r>
      <w:r w:rsidR="000E4102" w:rsidRPr="00DB1D2C">
        <w:t>.  These included</w:t>
      </w:r>
      <w:r w:rsidR="000F052E" w:rsidRPr="00DB1D2C">
        <w:t xml:space="preserve">: (i) Systems and Network Security; (ii) Data Management Using MySQL; (iii) Software Development and Best Practices for Software Programming; (iv) Bandwidth Management and Optimization; (v) Customer Care and Ethics; and Networking.  These trainings were conducted at the Malawi Institute of Management between September and December 2014.  </w:t>
      </w:r>
      <w:r w:rsidR="00CD50AD">
        <w:t xml:space="preserve">However, the impact of these trainings </w:t>
      </w:r>
      <w:r w:rsidR="001A6BA5">
        <w:t>is likely to</w:t>
      </w:r>
      <w:r w:rsidR="00CD50AD">
        <w:t xml:space="preserve"> take long</w:t>
      </w:r>
      <w:r w:rsidR="002F4C0E">
        <w:t>er than expected</w:t>
      </w:r>
      <w:r w:rsidR="00CD50AD">
        <w:t>.</w:t>
      </w:r>
    </w:p>
    <w:p w:rsidR="00B70EF0" w:rsidRDefault="00B70EF0" w:rsidP="00B70EF0">
      <w:pPr>
        <w:rPr>
          <w:u w:val="single"/>
        </w:rPr>
      </w:pPr>
    </w:p>
    <w:p w:rsidR="007B0875" w:rsidRDefault="007B0875" w:rsidP="00B70EF0">
      <w:pPr>
        <w:rPr>
          <w:u w:val="single"/>
        </w:rPr>
      </w:pPr>
    </w:p>
    <w:p w:rsidR="007B0875" w:rsidRPr="00DB1D2C" w:rsidRDefault="007B0875" w:rsidP="00B70EF0">
      <w:pPr>
        <w:rPr>
          <w:u w:val="single"/>
        </w:rPr>
      </w:pPr>
    </w:p>
    <w:p w:rsidR="008B603F" w:rsidRPr="00DB1D2C" w:rsidRDefault="00B70EF0" w:rsidP="00B70EF0">
      <w:pPr>
        <w:rPr>
          <w:b/>
        </w:rPr>
      </w:pPr>
      <w:r w:rsidRPr="00DB1D2C">
        <w:rPr>
          <w:b/>
        </w:rPr>
        <w:lastRenderedPageBreak/>
        <w:t>B.2</w:t>
      </w:r>
      <w:r w:rsidRPr="00DB1D2C">
        <w:rPr>
          <w:b/>
        </w:rPr>
        <w:tab/>
      </w:r>
      <w:r w:rsidR="008B603F" w:rsidRPr="00DB1D2C">
        <w:rPr>
          <w:b/>
        </w:rPr>
        <w:t>Progress towards Achieving P</w:t>
      </w:r>
      <w:r w:rsidR="0064331F" w:rsidRPr="00DB1D2C">
        <w:rPr>
          <w:b/>
        </w:rPr>
        <w:t>rogram</w:t>
      </w:r>
      <w:r w:rsidR="008B603F" w:rsidRPr="00DB1D2C">
        <w:rPr>
          <w:b/>
        </w:rPr>
        <w:t xml:space="preserve"> Outcomes and Expected I</w:t>
      </w:r>
      <w:r w:rsidR="0064331F" w:rsidRPr="00DB1D2C">
        <w:rPr>
          <w:b/>
        </w:rPr>
        <w:t>mpact</w:t>
      </w:r>
    </w:p>
    <w:p w:rsidR="008B603F" w:rsidRPr="00DB1D2C" w:rsidRDefault="008B603F" w:rsidP="00B70EF0"/>
    <w:p w:rsidR="00166D9B" w:rsidRPr="00DB1D2C" w:rsidRDefault="00166D9B" w:rsidP="001C11C6">
      <w:pPr>
        <w:jc w:val="both"/>
      </w:pPr>
      <w:r w:rsidRPr="00DB1D2C">
        <w:t xml:space="preserve">The year 2014 saw increased citizen engagement in most of the activities under the Project.  For example, the Report prepared by the Public Service Reform Commission had extended input from major stakeholders which included the private sector, </w:t>
      </w:r>
      <w:r w:rsidR="00A0330E" w:rsidRPr="00BC79FA">
        <w:rPr>
          <w:rFonts w:cs="Arial"/>
          <w:color w:val="FF0000"/>
        </w:rPr>
        <w:t>representatives of political parties, representatives of workers trade unions,</w:t>
      </w:r>
      <w:r w:rsidR="00A0330E">
        <w:rPr>
          <w:rFonts w:cs="Arial"/>
          <w:color w:val="FF0000"/>
        </w:rPr>
        <w:t xml:space="preserve"> </w:t>
      </w:r>
      <w:r w:rsidR="001C11C6" w:rsidRPr="00DB1D2C">
        <w:t xml:space="preserve">non-governmental organizations, faith-based organizations, community based organizations as well as development partners.  Such wide range consultations on major policy </w:t>
      </w:r>
      <w:r w:rsidR="004B216F">
        <w:t>shift</w:t>
      </w:r>
      <w:r w:rsidR="001C11C6" w:rsidRPr="00DB1D2C">
        <w:t xml:space="preserve"> such as public service re</w:t>
      </w:r>
      <w:r w:rsidR="004B216F">
        <w:t>forms is critical to ensure buy-</w:t>
      </w:r>
      <w:r w:rsidR="001C11C6" w:rsidRPr="00DB1D2C">
        <w:t>in of the citizenry</w:t>
      </w:r>
      <w:r w:rsidR="004B216F">
        <w:t xml:space="preserve"> and other stakeholders</w:t>
      </w:r>
      <w:r w:rsidR="001C11C6" w:rsidRPr="00DB1D2C">
        <w:t xml:space="preserve">.  </w:t>
      </w:r>
      <w:r w:rsidRPr="00DB1D2C">
        <w:t xml:space="preserve"> </w:t>
      </w:r>
      <w:r w:rsidR="001C11C6" w:rsidRPr="00DB1D2C">
        <w:t>If well implemented, these reforms will have ownership and go a long way in improving the efficiency and effectiveness of the public service in delivering its services.</w:t>
      </w:r>
    </w:p>
    <w:p w:rsidR="001C11C6" w:rsidRPr="00DB1D2C" w:rsidRDefault="001C11C6" w:rsidP="001C11C6">
      <w:pPr>
        <w:jc w:val="both"/>
      </w:pPr>
    </w:p>
    <w:p w:rsidR="0064331F" w:rsidRPr="00DB1D2C" w:rsidRDefault="001C13B8" w:rsidP="00EA616F">
      <w:pPr>
        <w:jc w:val="both"/>
      </w:pPr>
      <w:r w:rsidRPr="00DB1D2C">
        <w:t xml:space="preserve">Efforts towards institutionalization of ethics, integrity and professionalism training </w:t>
      </w:r>
      <w:r w:rsidR="00342007" w:rsidRPr="00DB1D2C">
        <w:t xml:space="preserve">and proposal by the Government to turn both </w:t>
      </w:r>
      <w:r w:rsidRPr="00DB1D2C">
        <w:t xml:space="preserve">Malawi Institute of Management </w:t>
      </w:r>
      <w:r w:rsidR="00342007" w:rsidRPr="00DB1D2C">
        <w:t>and Staff Development Institute into Schools of Government</w:t>
      </w:r>
      <w:r w:rsidR="004B216F">
        <w:t>, based on best practices,</w:t>
      </w:r>
      <w:r w:rsidR="00342007" w:rsidRPr="00DB1D2C">
        <w:t xml:space="preserve"> should guarantee quality training of public servants.  Such institutions have been effectively utilized in other countries like Kenya and Singapore.  </w:t>
      </w:r>
      <w:r w:rsidR="00EA616F" w:rsidRPr="00DB1D2C">
        <w:t xml:space="preserve">More still, the commitment by the current Government to allocate some funds in all ministries, departments and agencies for training at the two institutions will ascertain that there is continued professional development of the public service.  </w:t>
      </w:r>
    </w:p>
    <w:p w:rsidR="004B216F" w:rsidRPr="00DB1D2C" w:rsidRDefault="004B216F" w:rsidP="00BC25D7">
      <w:pPr>
        <w:pStyle w:val="ListParagraph"/>
        <w:spacing w:after="0" w:line="240" w:lineRule="auto"/>
        <w:ind w:left="1080"/>
        <w:rPr>
          <w:rFonts w:ascii="Times New Roman" w:hAnsi="Times New Roman"/>
          <w:sz w:val="24"/>
          <w:szCs w:val="24"/>
        </w:rPr>
      </w:pPr>
    </w:p>
    <w:p w:rsidR="00DA1C24" w:rsidRPr="00DB1D2C" w:rsidRDefault="00EA616F" w:rsidP="00EA616F">
      <w:pPr>
        <w:rPr>
          <w:b/>
        </w:rPr>
      </w:pPr>
      <w:r w:rsidRPr="00DB1D2C">
        <w:rPr>
          <w:b/>
        </w:rPr>
        <w:t>B.3</w:t>
      </w:r>
      <w:r w:rsidRPr="00DB1D2C">
        <w:rPr>
          <w:b/>
        </w:rPr>
        <w:tab/>
      </w:r>
      <w:r w:rsidR="00DA1C24" w:rsidRPr="00DB1D2C">
        <w:rPr>
          <w:b/>
        </w:rPr>
        <w:t xml:space="preserve">Gender Mainstreaming </w:t>
      </w:r>
    </w:p>
    <w:p w:rsidR="00706CAE" w:rsidRPr="00DB1D2C" w:rsidRDefault="00706CAE" w:rsidP="00B136FD"/>
    <w:p w:rsidR="00DD5BC0" w:rsidRDefault="00DD5BC0" w:rsidP="00DD5BC0">
      <w:pPr>
        <w:jc w:val="both"/>
      </w:pPr>
      <w:r w:rsidRPr="00DB1D2C">
        <w:t xml:space="preserve">Most of the activities implemented under this Project cut across both genders.  </w:t>
      </w:r>
      <w:r w:rsidR="004B216F">
        <w:t>During the reporting period, d</w:t>
      </w:r>
      <w:r w:rsidRPr="00DB1D2C">
        <w:t xml:space="preserve">eliberate efforts </w:t>
      </w:r>
      <w:r w:rsidR="004B216F">
        <w:t>were</w:t>
      </w:r>
      <w:r w:rsidRPr="00DB1D2C">
        <w:t xml:space="preserve"> made to ensure that more women are represented in leadership training sessions.  A case in point is the ethics, integrity and professionalism training.  Disaggregated data is collected during the various training sessions.  </w:t>
      </w:r>
      <w:r w:rsidR="00574799">
        <w:t xml:space="preserve">For example and as reported above, a </w:t>
      </w:r>
      <w:r w:rsidR="00574799" w:rsidRPr="00574799">
        <w:t xml:space="preserve">total of 212 participants attended the </w:t>
      </w:r>
      <w:r w:rsidR="00574799">
        <w:t>ethics</w:t>
      </w:r>
      <w:r w:rsidR="00A66059">
        <w:t>, integrity and professionalism</w:t>
      </w:r>
      <w:r w:rsidR="00574799">
        <w:t xml:space="preserve"> </w:t>
      </w:r>
      <w:r w:rsidR="00574799" w:rsidRPr="00574799">
        <w:t xml:space="preserve">training courses </w:t>
      </w:r>
      <w:r w:rsidR="00574799">
        <w:t>in 2014</w:t>
      </w:r>
      <w:r w:rsidR="00A66059">
        <w:t xml:space="preserve">.  Of these, 150 </w:t>
      </w:r>
      <w:r w:rsidR="00574799" w:rsidRPr="00574799">
        <w:t>were men (71%) and 62 were women (29%).</w:t>
      </w:r>
    </w:p>
    <w:p w:rsidR="00574799" w:rsidRPr="00DB1D2C" w:rsidRDefault="00574799" w:rsidP="00DD5BC0">
      <w:pPr>
        <w:jc w:val="both"/>
      </w:pPr>
    </w:p>
    <w:p w:rsidR="00BB5D1A" w:rsidRPr="00DB1D2C" w:rsidRDefault="00DD5BC0" w:rsidP="00DD5BC0">
      <w:pPr>
        <w:jc w:val="both"/>
      </w:pPr>
      <w:r w:rsidRPr="00DB1D2C">
        <w:t xml:space="preserve">While the focus is on ascertaining that increasing number of women take advantage of the training sessions – especially leadership and management, the Project has little influence </w:t>
      </w:r>
      <w:r w:rsidR="004B216F">
        <w:t>in</w:t>
      </w:r>
      <w:r w:rsidR="00BB5D1A" w:rsidRPr="00DB1D2C">
        <w:t xml:space="preserve"> seeing to it that the trained women are accelerated into leadership positions within the public service.  This notwithstanding, the trainings provide a launch pad for women to assume more challenging responsibilities</w:t>
      </w:r>
      <w:r w:rsidR="00A53FF8">
        <w:t xml:space="preserve">.  That said, it is estimated that about 30% of leadership positions in the public service are </w:t>
      </w:r>
      <w:r w:rsidR="00A66059">
        <w:t xml:space="preserve">occupied </w:t>
      </w:r>
      <w:r w:rsidR="00A53FF8">
        <w:t>by women.</w:t>
      </w:r>
    </w:p>
    <w:p w:rsidR="00BB5D1A" w:rsidRPr="00DB1D2C" w:rsidRDefault="00BB5D1A" w:rsidP="00DD5BC0">
      <w:pPr>
        <w:jc w:val="both"/>
      </w:pPr>
    </w:p>
    <w:p w:rsidR="008D3E73" w:rsidRPr="00DB1D2C" w:rsidRDefault="00BB5D1A" w:rsidP="00BB5D1A">
      <w:pPr>
        <w:pStyle w:val="BodyText2"/>
        <w:spacing w:after="0" w:line="240" w:lineRule="auto"/>
        <w:rPr>
          <w:b/>
          <w:szCs w:val="24"/>
        </w:rPr>
      </w:pPr>
      <w:r w:rsidRPr="00DB1D2C">
        <w:rPr>
          <w:rFonts w:eastAsia="Calibri"/>
          <w:b/>
          <w:szCs w:val="24"/>
          <w:lang w:val="en-US" w:eastAsia="en-US"/>
        </w:rPr>
        <w:t>B.4</w:t>
      </w:r>
      <w:r w:rsidRPr="00DB1D2C">
        <w:rPr>
          <w:rFonts w:eastAsia="Calibri"/>
          <w:b/>
          <w:szCs w:val="24"/>
          <w:lang w:val="en-US" w:eastAsia="en-US"/>
        </w:rPr>
        <w:tab/>
      </w:r>
      <w:r w:rsidR="00CD0E39" w:rsidRPr="00DB1D2C">
        <w:rPr>
          <w:b/>
          <w:szCs w:val="24"/>
        </w:rPr>
        <w:t xml:space="preserve">Status of key </w:t>
      </w:r>
      <w:r w:rsidR="00DA1C24" w:rsidRPr="00DB1D2C">
        <w:rPr>
          <w:b/>
          <w:szCs w:val="24"/>
        </w:rPr>
        <w:t>Partnerships</w:t>
      </w:r>
      <w:r w:rsidRPr="00DB1D2C">
        <w:rPr>
          <w:b/>
          <w:szCs w:val="24"/>
        </w:rPr>
        <w:t xml:space="preserve"> and Inter-A</w:t>
      </w:r>
      <w:r w:rsidR="00CD0E39" w:rsidRPr="00DB1D2C">
        <w:rPr>
          <w:b/>
          <w:szCs w:val="24"/>
        </w:rPr>
        <w:t>gency</w:t>
      </w:r>
      <w:r w:rsidRPr="00DB1D2C">
        <w:rPr>
          <w:b/>
          <w:szCs w:val="24"/>
        </w:rPr>
        <w:t>/D</w:t>
      </w:r>
      <w:r w:rsidR="00EC25EA" w:rsidRPr="00DB1D2C">
        <w:rPr>
          <w:b/>
          <w:szCs w:val="24"/>
        </w:rPr>
        <w:t>epartmental</w:t>
      </w:r>
    </w:p>
    <w:p w:rsidR="00CD0E39" w:rsidRPr="00DB1D2C" w:rsidRDefault="00BB5D1A" w:rsidP="008D3E73">
      <w:pPr>
        <w:pStyle w:val="BodyText2"/>
        <w:spacing w:after="0" w:line="240" w:lineRule="auto"/>
        <w:ind w:firstLine="720"/>
        <w:rPr>
          <w:b/>
          <w:szCs w:val="24"/>
        </w:rPr>
      </w:pPr>
      <w:r w:rsidRPr="00DB1D2C">
        <w:rPr>
          <w:b/>
          <w:szCs w:val="24"/>
        </w:rPr>
        <w:t>Collaboration in the Area of the O</w:t>
      </w:r>
      <w:r w:rsidR="00CD0E39" w:rsidRPr="00DB1D2C">
        <w:rPr>
          <w:b/>
          <w:szCs w:val="24"/>
        </w:rPr>
        <w:t>utcome</w:t>
      </w:r>
    </w:p>
    <w:p w:rsidR="00BB5D1A" w:rsidRPr="00DB1D2C" w:rsidRDefault="00BB5D1A" w:rsidP="00BB5D1A">
      <w:pPr>
        <w:pStyle w:val="BodyText2"/>
        <w:spacing w:after="0" w:line="240" w:lineRule="auto"/>
        <w:rPr>
          <w:szCs w:val="24"/>
        </w:rPr>
      </w:pPr>
    </w:p>
    <w:p w:rsidR="00764211" w:rsidRDefault="00BB5D1A" w:rsidP="0037094A">
      <w:pPr>
        <w:pStyle w:val="ListParagraph"/>
        <w:spacing w:after="0" w:line="240" w:lineRule="auto"/>
        <w:ind w:left="0"/>
        <w:jc w:val="both"/>
        <w:rPr>
          <w:rFonts w:ascii="Times New Roman" w:hAnsi="Times New Roman"/>
          <w:sz w:val="24"/>
          <w:szCs w:val="24"/>
        </w:rPr>
      </w:pPr>
      <w:r w:rsidRPr="00DB1D2C">
        <w:rPr>
          <w:rFonts w:ascii="Times New Roman" w:hAnsi="Times New Roman"/>
          <w:sz w:val="24"/>
          <w:szCs w:val="24"/>
        </w:rPr>
        <w:t>This Project address</w:t>
      </w:r>
      <w:r w:rsidR="003C07E8" w:rsidRPr="00DB1D2C">
        <w:rPr>
          <w:rFonts w:ascii="Times New Roman" w:hAnsi="Times New Roman"/>
          <w:sz w:val="24"/>
          <w:szCs w:val="24"/>
        </w:rPr>
        <w:t>es</w:t>
      </w:r>
      <w:r w:rsidRPr="00DB1D2C">
        <w:rPr>
          <w:rFonts w:ascii="Times New Roman" w:hAnsi="Times New Roman"/>
          <w:sz w:val="24"/>
          <w:szCs w:val="24"/>
        </w:rPr>
        <w:t xml:space="preserve"> key functional areas of the </w:t>
      </w:r>
      <w:r w:rsidR="00764211">
        <w:rPr>
          <w:rFonts w:ascii="Times New Roman" w:hAnsi="Times New Roman"/>
          <w:sz w:val="24"/>
          <w:szCs w:val="24"/>
        </w:rPr>
        <w:t xml:space="preserve">entire </w:t>
      </w:r>
      <w:r w:rsidRPr="00DB1D2C">
        <w:rPr>
          <w:rFonts w:ascii="Times New Roman" w:hAnsi="Times New Roman"/>
          <w:sz w:val="24"/>
          <w:szCs w:val="24"/>
        </w:rPr>
        <w:t>public service.  As a result, there is collaboration and complementarities with almost all other projects within UNDP as well as other UN Agencies.  The training on ethics, integrity and professionalism and the Retreat for PSs</w:t>
      </w:r>
      <w:r w:rsidR="00E8653A" w:rsidRPr="00DB1D2C">
        <w:rPr>
          <w:rFonts w:ascii="Times New Roman" w:hAnsi="Times New Roman"/>
          <w:sz w:val="24"/>
          <w:szCs w:val="24"/>
        </w:rPr>
        <w:t xml:space="preserve"> benefitted all those in leadership positions.  </w:t>
      </w:r>
    </w:p>
    <w:p w:rsidR="00764211" w:rsidRDefault="00764211" w:rsidP="0037094A">
      <w:pPr>
        <w:pStyle w:val="ListParagraph"/>
        <w:spacing w:after="0" w:line="240" w:lineRule="auto"/>
        <w:ind w:left="0"/>
        <w:jc w:val="both"/>
        <w:rPr>
          <w:rFonts w:ascii="Times New Roman" w:hAnsi="Times New Roman"/>
          <w:sz w:val="24"/>
          <w:szCs w:val="24"/>
        </w:rPr>
      </w:pPr>
    </w:p>
    <w:p w:rsidR="00DA1C24" w:rsidRDefault="003C07E8" w:rsidP="0037094A">
      <w:pPr>
        <w:pStyle w:val="ListParagraph"/>
        <w:spacing w:after="0" w:line="240" w:lineRule="auto"/>
        <w:ind w:left="0"/>
        <w:jc w:val="both"/>
        <w:rPr>
          <w:rFonts w:ascii="Times New Roman" w:hAnsi="Times New Roman"/>
          <w:sz w:val="24"/>
          <w:szCs w:val="24"/>
        </w:rPr>
      </w:pPr>
      <w:r w:rsidRPr="00DB1D2C">
        <w:rPr>
          <w:rFonts w:ascii="Times New Roman" w:hAnsi="Times New Roman"/>
          <w:sz w:val="24"/>
          <w:szCs w:val="24"/>
        </w:rPr>
        <w:lastRenderedPageBreak/>
        <w:t xml:space="preserve">For the first time, USAID </w:t>
      </w:r>
      <w:r w:rsidR="00764211">
        <w:rPr>
          <w:rFonts w:ascii="Times New Roman" w:hAnsi="Times New Roman"/>
          <w:sz w:val="24"/>
          <w:szCs w:val="24"/>
        </w:rPr>
        <w:t xml:space="preserve">came in as an emerging new partner by </w:t>
      </w:r>
      <w:r w:rsidRPr="00DB1D2C">
        <w:rPr>
          <w:rFonts w:ascii="Times New Roman" w:hAnsi="Times New Roman"/>
          <w:sz w:val="24"/>
          <w:szCs w:val="24"/>
        </w:rPr>
        <w:t>le</w:t>
      </w:r>
      <w:r w:rsidR="00764211">
        <w:rPr>
          <w:rFonts w:ascii="Times New Roman" w:hAnsi="Times New Roman"/>
          <w:sz w:val="24"/>
          <w:szCs w:val="24"/>
        </w:rPr>
        <w:t>a</w:t>
      </w:r>
      <w:r w:rsidRPr="00DB1D2C">
        <w:rPr>
          <w:rFonts w:ascii="Times New Roman" w:hAnsi="Times New Roman"/>
          <w:sz w:val="24"/>
          <w:szCs w:val="24"/>
        </w:rPr>
        <w:t>d</w:t>
      </w:r>
      <w:r w:rsidR="00764211">
        <w:rPr>
          <w:rFonts w:ascii="Times New Roman" w:hAnsi="Times New Roman"/>
          <w:sz w:val="24"/>
          <w:szCs w:val="24"/>
        </w:rPr>
        <w:t>ing</w:t>
      </w:r>
      <w:r w:rsidRPr="00DB1D2C">
        <w:rPr>
          <w:rFonts w:ascii="Times New Roman" w:hAnsi="Times New Roman"/>
          <w:sz w:val="24"/>
          <w:szCs w:val="24"/>
        </w:rPr>
        <w:t xml:space="preserve"> the process of developing the revised PD.  The revised PD attracted a lot of interest from a number of DPs including the World Bank.  However, these efforts were not completed following the establishment of the Public Service Reform Commission charged to lead the reform process</w:t>
      </w:r>
      <w:r w:rsidR="0037094A" w:rsidRPr="00DB1D2C">
        <w:rPr>
          <w:rFonts w:ascii="Times New Roman" w:hAnsi="Times New Roman"/>
          <w:sz w:val="24"/>
          <w:szCs w:val="24"/>
        </w:rPr>
        <w:t xml:space="preserve">.  </w:t>
      </w:r>
    </w:p>
    <w:p w:rsidR="00DB1E50" w:rsidRPr="00DB1D2C" w:rsidRDefault="00D06F98" w:rsidP="00DB1E50">
      <w:pPr>
        <w:pStyle w:val="Heading2"/>
        <w:numPr>
          <w:ilvl w:val="0"/>
          <w:numId w:val="19"/>
        </w:numPr>
        <w:ind w:left="720" w:hanging="720"/>
        <w:rPr>
          <w:rFonts w:ascii="Times New Roman" w:hAnsi="Times New Roman"/>
          <w:i w:val="0"/>
          <w:sz w:val="24"/>
          <w:szCs w:val="24"/>
        </w:rPr>
      </w:pPr>
      <w:bookmarkStart w:id="3" w:name="_Toc67305292"/>
      <w:bookmarkStart w:id="4" w:name="_Toc67305394"/>
      <w:bookmarkStart w:id="5" w:name="_Toc67306162"/>
      <w:bookmarkStart w:id="6" w:name="_Toc67306484"/>
      <w:bookmarkStart w:id="7" w:name="_Toc67371174"/>
      <w:r w:rsidRPr="00DB1D2C">
        <w:rPr>
          <w:rFonts w:ascii="Times New Roman" w:hAnsi="Times New Roman"/>
          <w:i w:val="0"/>
          <w:sz w:val="24"/>
          <w:szCs w:val="24"/>
        </w:rPr>
        <w:t>Financ</w:t>
      </w:r>
      <w:bookmarkEnd w:id="3"/>
      <w:bookmarkEnd w:id="4"/>
      <w:bookmarkEnd w:id="5"/>
      <w:bookmarkEnd w:id="6"/>
      <w:bookmarkEnd w:id="7"/>
      <w:r w:rsidRPr="00DB1D2C">
        <w:rPr>
          <w:rFonts w:ascii="Times New Roman" w:hAnsi="Times New Roman"/>
          <w:i w:val="0"/>
          <w:sz w:val="24"/>
          <w:szCs w:val="24"/>
        </w:rPr>
        <w:t xml:space="preserve">ial Status </w:t>
      </w:r>
      <w:r w:rsidR="0039734D" w:rsidRPr="00DB1D2C">
        <w:rPr>
          <w:rFonts w:ascii="Times New Roman" w:hAnsi="Times New Roman"/>
          <w:i w:val="0"/>
          <w:sz w:val="24"/>
          <w:szCs w:val="24"/>
        </w:rPr>
        <w:t>and Utilization</w:t>
      </w:r>
    </w:p>
    <w:p w:rsidR="00DB1E50" w:rsidRPr="00DB1D2C" w:rsidRDefault="00DB1E50" w:rsidP="00DB1E50"/>
    <w:p w:rsidR="00D06F98" w:rsidRPr="00DB1D2C" w:rsidRDefault="00B136FD" w:rsidP="00B136FD">
      <w:r w:rsidRPr="00DB1D2C">
        <w:t xml:space="preserve">The Project had a 2014 total budget of $1,000,000 </w:t>
      </w:r>
      <w:r w:rsidR="00A66059">
        <w:t>fully funded by UNDP.</w:t>
      </w:r>
      <w:r w:rsidRPr="00DB1D2C">
        <w:t xml:space="preserve">  Originally the Project had a budget of $650,000 from TRAC I.  An additional $350,000 was released from TRAC II in July 2014.  By end-December 2014, total expenditures were $989,969</w:t>
      </w:r>
      <w:r w:rsidR="00A66059">
        <w:t xml:space="preserve">, i.e. </w:t>
      </w:r>
      <w:r w:rsidRPr="00DB1D2C">
        <w:t xml:space="preserve"> representing a delivery of 99%.  </w:t>
      </w:r>
      <w:r w:rsidRPr="00DB1D2C">
        <w:rPr>
          <w:i/>
        </w:rPr>
        <w:t>Annex II</w:t>
      </w:r>
      <w:r w:rsidRPr="00DB1D2C">
        <w:t xml:space="preserve"> shows expenditure by Output.  </w:t>
      </w:r>
    </w:p>
    <w:p w:rsidR="00DA1C24" w:rsidRPr="00DB1D2C" w:rsidRDefault="00DA1C24" w:rsidP="002875B9">
      <w:pPr>
        <w:pStyle w:val="ListParagraph"/>
        <w:spacing w:after="0" w:line="240" w:lineRule="auto"/>
        <w:ind w:left="0"/>
        <w:rPr>
          <w:rFonts w:ascii="Times New Roman" w:hAnsi="Times New Roman"/>
          <w:sz w:val="24"/>
          <w:szCs w:val="24"/>
        </w:rPr>
      </w:pPr>
    </w:p>
    <w:p w:rsidR="009F2E58" w:rsidRPr="00DB1D2C" w:rsidRDefault="00DA1C24" w:rsidP="0037094A">
      <w:pPr>
        <w:pStyle w:val="ListParagraph"/>
        <w:numPr>
          <w:ilvl w:val="0"/>
          <w:numId w:val="19"/>
        </w:numPr>
        <w:tabs>
          <w:tab w:val="left" w:pos="720"/>
        </w:tabs>
        <w:spacing w:after="0" w:line="240" w:lineRule="auto"/>
        <w:ind w:left="720" w:hanging="810"/>
        <w:rPr>
          <w:rFonts w:ascii="Times New Roman" w:hAnsi="Times New Roman"/>
          <w:sz w:val="24"/>
          <w:szCs w:val="24"/>
        </w:rPr>
      </w:pPr>
      <w:r w:rsidRPr="00DB1D2C">
        <w:rPr>
          <w:rFonts w:ascii="Times New Roman" w:hAnsi="Times New Roman"/>
          <w:b/>
          <w:sz w:val="24"/>
          <w:szCs w:val="24"/>
        </w:rPr>
        <w:t>Lessons Learned</w:t>
      </w:r>
      <w:r w:rsidRPr="00DB1D2C">
        <w:rPr>
          <w:rFonts w:ascii="Times New Roman" w:hAnsi="Times New Roman"/>
          <w:sz w:val="24"/>
          <w:szCs w:val="24"/>
        </w:rPr>
        <w:t xml:space="preserve"> </w:t>
      </w:r>
    </w:p>
    <w:p w:rsidR="009F2E58" w:rsidRPr="00DB1D2C" w:rsidRDefault="009F2E58" w:rsidP="009F2E58">
      <w:pPr>
        <w:pStyle w:val="ListParagraph"/>
        <w:spacing w:after="0" w:line="240" w:lineRule="auto"/>
        <w:ind w:left="0"/>
        <w:rPr>
          <w:rFonts w:ascii="Times New Roman" w:hAnsi="Times New Roman"/>
          <w:sz w:val="24"/>
          <w:szCs w:val="24"/>
        </w:rPr>
      </w:pPr>
    </w:p>
    <w:p w:rsidR="00C5124B" w:rsidRDefault="00C5124B" w:rsidP="00343C9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 major lesson is that s</w:t>
      </w:r>
      <w:r w:rsidR="00343C97" w:rsidRPr="00DB1D2C">
        <w:rPr>
          <w:rFonts w:ascii="Times New Roman" w:hAnsi="Times New Roman"/>
          <w:sz w:val="24"/>
          <w:szCs w:val="24"/>
        </w:rPr>
        <w:t xml:space="preserve">uccessful public service reforms </w:t>
      </w:r>
      <w:r>
        <w:rPr>
          <w:rFonts w:ascii="Times New Roman" w:hAnsi="Times New Roman"/>
          <w:sz w:val="24"/>
          <w:szCs w:val="24"/>
        </w:rPr>
        <w:t>need to be comprehensive and, at the same time, linked to other reforms.  For more than a decade, Malawi’s public service reforms have been piecemeal, discreet and disjointed.  For example</w:t>
      </w:r>
      <w:r w:rsidR="001A1204" w:rsidRPr="00DB1D2C">
        <w:rPr>
          <w:rFonts w:ascii="Times New Roman" w:hAnsi="Times New Roman"/>
          <w:sz w:val="24"/>
          <w:szCs w:val="24"/>
        </w:rPr>
        <w:t xml:space="preserve">, UNDP has </w:t>
      </w:r>
      <w:r w:rsidR="00A66059">
        <w:rPr>
          <w:rFonts w:ascii="Times New Roman" w:hAnsi="Times New Roman"/>
          <w:sz w:val="24"/>
          <w:szCs w:val="24"/>
        </w:rPr>
        <w:t xml:space="preserve">over the last decade </w:t>
      </w:r>
      <w:r w:rsidR="001A1204" w:rsidRPr="00DB1D2C">
        <w:rPr>
          <w:rFonts w:ascii="Times New Roman" w:hAnsi="Times New Roman"/>
          <w:sz w:val="24"/>
          <w:szCs w:val="24"/>
        </w:rPr>
        <w:t xml:space="preserve">been the only </w:t>
      </w:r>
      <w:r w:rsidR="001A1204">
        <w:rPr>
          <w:rFonts w:ascii="Times New Roman" w:hAnsi="Times New Roman"/>
          <w:sz w:val="24"/>
          <w:szCs w:val="24"/>
        </w:rPr>
        <w:t>development partner</w:t>
      </w:r>
      <w:r w:rsidR="001A1204" w:rsidRPr="00DB1D2C">
        <w:rPr>
          <w:rFonts w:ascii="Times New Roman" w:hAnsi="Times New Roman"/>
          <w:sz w:val="24"/>
          <w:szCs w:val="24"/>
        </w:rPr>
        <w:t xml:space="preserve"> involved in </w:t>
      </w:r>
      <w:r w:rsidR="00A66059">
        <w:rPr>
          <w:rFonts w:ascii="Times New Roman" w:hAnsi="Times New Roman"/>
          <w:sz w:val="24"/>
          <w:szCs w:val="24"/>
        </w:rPr>
        <w:t xml:space="preserve">providing substantive support towards </w:t>
      </w:r>
      <w:r w:rsidR="001A1204" w:rsidRPr="00DB1D2C">
        <w:rPr>
          <w:rFonts w:ascii="Times New Roman" w:hAnsi="Times New Roman"/>
          <w:sz w:val="24"/>
          <w:szCs w:val="24"/>
        </w:rPr>
        <w:t>public se</w:t>
      </w:r>
      <w:r w:rsidR="00A66059">
        <w:rPr>
          <w:rFonts w:ascii="Times New Roman" w:hAnsi="Times New Roman"/>
          <w:sz w:val="24"/>
          <w:szCs w:val="24"/>
        </w:rPr>
        <w:t xml:space="preserve">ctor management </w:t>
      </w:r>
      <w:r w:rsidR="001A1204" w:rsidRPr="00DB1D2C">
        <w:rPr>
          <w:rFonts w:ascii="Times New Roman" w:hAnsi="Times New Roman"/>
          <w:sz w:val="24"/>
          <w:szCs w:val="24"/>
        </w:rPr>
        <w:t>and capacity development.  The majority of other DPs ha</w:t>
      </w:r>
      <w:r w:rsidR="00A66059">
        <w:rPr>
          <w:rFonts w:ascii="Times New Roman" w:hAnsi="Times New Roman"/>
          <w:sz w:val="24"/>
          <w:szCs w:val="24"/>
        </w:rPr>
        <w:t>ve</w:t>
      </w:r>
      <w:r w:rsidR="001A1204" w:rsidRPr="00DB1D2C">
        <w:rPr>
          <w:rFonts w:ascii="Times New Roman" w:hAnsi="Times New Roman"/>
          <w:sz w:val="24"/>
          <w:szCs w:val="24"/>
        </w:rPr>
        <w:t xml:space="preserve"> been supporting PFEM reforms.  </w:t>
      </w:r>
      <w:r>
        <w:rPr>
          <w:rFonts w:ascii="Times New Roman" w:hAnsi="Times New Roman"/>
          <w:sz w:val="24"/>
          <w:szCs w:val="24"/>
        </w:rPr>
        <w:t xml:space="preserve">The </w:t>
      </w:r>
      <w:r w:rsidRPr="00C5124B">
        <w:rPr>
          <w:rFonts w:ascii="Times New Roman" w:hAnsi="Times New Roman"/>
          <w:i/>
          <w:sz w:val="24"/>
          <w:szCs w:val="24"/>
        </w:rPr>
        <w:t>“cashgate scandal”</w:t>
      </w:r>
      <w:r>
        <w:rPr>
          <w:rFonts w:ascii="Times New Roman" w:hAnsi="Times New Roman"/>
          <w:sz w:val="24"/>
          <w:szCs w:val="24"/>
        </w:rPr>
        <w:t xml:space="preserve"> has revealed the need for these reforms</w:t>
      </w:r>
      <w:r w:rsidR="00A66059">
        <w:rPr>
          <w:rFonts w:ascii="Times New Roman" w:hAnsi="Times New Roman"/>
          <w:sz w:val="24"/>
          <w:szCs w:val="24"/>
        </w:rPr>
        <w:t>, i.e. Public Service Reforms (PSR) and Public Finance and Economic Management (PFEM) Reforms</w:t>
      </w:r>
      <w:r>
        <w:rPr>
          <w:rFonts w:ascii="Times New Roman" w:hAnsi="Times New Roman"/>
          <w:sz w:val="24"/>
          <w:szCs w:val="24"/>
        </w:rPr>
        <w:t xml:space="preserve"> to be </w:t>
      </w:r>
      <w:r w:rsidR="00A66059">
        <w:rPr>
          <w:rFonts w:ascii="Times New Roman" w:hAnsi="Times New Roman"/>
          <w:sz w:val="24"/>
          <w:szCs w:val="24"/>
        </w:rPr>
        <w:t xml:space="preserve">closely </w:t>
      </w:r>
      <w:r>
        <w:rPr>
          <w:rFonts w:ascii="Times New Roman" w:hAnsi="Times New Roman"/>
          <w:sz w:val="24"/>
          <w:szCs w:val="24"/>
        </w:rPr>
        <w:t>linked and implemented in a more comp</w:t>
      </w:r>
      <w:r w:rsidR="00A66059">
        <w:rPr>
          <w:rFonts w:ascii="Times New Roman" w:hAnsi="Times New Roman"/>
          <w:sz w:val="24"/>
          <w:szCs w:val="24"/>
        </w:rPr>
        <w:t xml:space="preserve">lementary and synergetic </w:t>
      </w:r>
      <w:r>
        <w:rPr>
          <w:rFonts w:ascii="Times New Roman" w:hAnsi="Times New Roman"/>
          <w:sz w:val="24"/>
          <w:szCs w:val="24"/>
        </w:rPr>
        <w:t>approach.</w:t>
      </w:r>
      <w:r w:rsidRPr="00C5124B">
        <w:rPr>
          <w:rFonts w:ascii="Times New Roman" w:hAnsi="Times New Roman"/>
          <w:sz w:val="24"/>
          <w:szCs w:val="24"/>
        </w:rPr>
        <w:t xml:space="preserve"> </w:t>
      </w:r>
      <w:r>
        <w:rPr>
          <w:rFonts w:ascii="Times New Roman" w:hAnsi="Times New Roman"/>
          <w:sz w:val="24"/>
          <w:szCs w:val="24"/>
        </w:rPr>
        <w:t xml:space="preserve"> </w:t>
      </w:r>
      <w:r w:rsidRPr="00DB1D2C">
        <w:rPr>
          <w:rFonts w:ascii="Times New Roman" w:hAnsi="Times New Roman"/>
          <w:sz w:val="24"/>
          <w:szCs w:val="24"/>
        </w:rPr>
        <w:t xml:space="preserve">The Government, in collaboration with DPs, is working on how to come up with comprehensive </w:t>
      </w:r>
      <w:r w:rsidR="00747CE3">
        <w:rPr>
          <w:rFonts w:ascii="Times New Roman" w:hAnsi="Times New Roman"/>
          <w:sz w:val="24"/>
          <w:szCs w:val="24"/>
        </w:rPr>
        <w:t xml:space="preserve">PSR and PFEM Reform </w:t>
      </w:r>
      <w:r>
        <w:rPr>
          <w:rFonts w:ascii="Times New Roman" w:hAnsi="Times New Roman"/>
          <w:sz w:val="24"/>
          <w:szCs w:val="24"/>
        </w:rPr>
        <w:t>program</w:t>
      </w:r>
      <w:r w:rsidR="00747CE3">
        <w:rPr>
          <w:rFonts w:ascii="Times New Roman" w:hAnsi="Times New Roman"/>
          <w:sz w:val="24"/>
          <w:szCs w:val="24"/>
        </w:rPr>
        <w:t>s</w:t>
      </w:r>
      <w:r>
        <w:rPr>
          <w:rFonts w:ascii="Times New Roman" w:hAnsi="Times New Roman"/>
          <w:sz w:val="24"/>
          <w:szCs w:val="24"/>
        </w:rPr>
        <w:t xml:space="preserve"> </w:t>
      </w:r>
      <w:r w:rsidR="00747CE3">
        <w:rPr>
          <w:rFonts w:ascii="Times New Roman" w:hAnsi="Times New Roman"/>
          <w:sz w:val="24"/>
          <w:szCs w:val="24"/>
        </w:rPr>
        <w:t xml:space="preserve">with full </w:t>
      </w:r>
      <w:r w:rsidRPr="00DB1D2C">
        <w:rPr>
          <w:rFonts w:ascii="Times New Roman" w:hAnsi="Times New Roman"/>
          <w:sz w:val="24"/>
          <w:szCs w:val="24"/>
        </w:rPr>
        <w:t>buy-in from all stakeholders</w:t>
      </w:r>
      <w:r w:rsidR="00747CE3">
        <w:rPr>
          <w:rFonts w:ascii="Times New Roman" w:hAnsi="Times New Roman"/>
          <w:sz w:val="24"/>
          <w:szCs w:val="24"/>
        </w:rPr>
        <w:t xml:space="preserve"> including Government MDAs, DPs Private Sector, CSO’s, Academia and the citizens at large</w:t>
      </w:r>
      <w:r w:rsidRPr="00DB1D2C">
        <w:rPr>
          <w:rFonts w:ascii="Times New Roman" w:hAnsi="Times New Roman"/>
          <w:sz w:val="24"/>
          <w:szCs w:val="24"/>
        </w:rPr>
        <w:t xml:space="preserve">.  </w:t>
      </w:r>
    </w:p>
    <w:p w:rsidR="00C5124B" w:rsidRDefault="00C5124B" w:rsidP="00343C97">
      <w:pPr>
        <w:pStyle w:val="ListParagraph"/>
        <w:spacing w:after="0" w:line="240" w:lineRule="auto"/>
        <w:ind w:left="0"/>
        <w:jc w:val="both"/>
        <w:rPr>
          <w:rFonts w:ascii="Times New Roman" w:hAnsi="Times New Roman"/>
          <w:sz w:val="24"/>
          <w:szCs w:val="24"/>
        </w:rPr>
      </w:pPr>
    </w:p>
    <w:p w:rsidR="007A6A6A" w:rsidRPr="00DB1D2C" w:rsidRDefault="00343C97" w:rsidP="00343C97">
      <w:pPr>
        <w:pStyle w:val="ListParagraph"/>
        <w:spacing w:after="0" w:line="240" w:lineRule="auto"/>
        <w:ind w:left="0"/>
        <w:jc w:val="both"/>
        <w:rPr>
          <w:rFonts w:ascii="Times New Roman" w:hAnsi="Times New Roman"/>
          <w:sz w:val="24"/>
          <w:szCs w:val="24"/>
        </w:rPr>
      </w:pPr>
      <w:r w:rsidRPr="00DB1D2C">
        <w:rPr>
          <w:rFonts w:ascii="Times New Roman" w:hAnsi="Times New Roman"/>
          <w:sz w:val="24"/>
          <w:szCs w:val="24"/>
        </w:rPr>
        <w:t>The report by Public Service Reform Commissioners has shown that there ha</w:t>
      </w:r>
      <w:r w:rsidR="00747CE3">
        <w:rPr>
          <w:rFonts w:ascii="Times New Roman" w:hAnsi="Times New Roman"/>
          <w:sz w:val="24"/>
          <w:szCs w:val="24"/>
        </w:rPr>
        <w:t>ve</w:t>
      </w:r>
      <w:r w:rsidRPr="00DB1D2C">
        <w:rPr>
          <w:rFonts w:ascii="Times New Roman" w:hAnsi="Times New Roman"/>
          <w:sz w:val="24"/>
          <w:szCs w:val="24"/>
        </w:rPr>
        <w:t xml:space="preserve"> been </w:t>
      </w:r>
      <w:r w:rsidR="00747CE3">
        <w:rPr>
          <w:rFonts w:ascii="Times New Roman" w:hAnsi="Times New Roman"/>
          <w:sz w:val="24"/>
          <w:szCs w:val="24"/>
        </w:rPr>
        <w:t>many</w:t>
      </w:r>
      <w:r w:rsidRPr="00DB1D2C">
        <w:rPr>
          <w:rFonts w:ascii="Times New Roman" w:hAnsi="Times New Roman"/>
          <w:sz w:val="24"/>
          <w:szCs w:val="24"/>
        </w:rPr>
        <w:t xml:space="preserve"> attempts to reform the public service</w:t>
      </w:r>
      <w:r w:rsidR="00747CE3">
        <w:rPr>
          <w:rFonts w:ascii="Times New Roman" w:hAnsi="Times New Roman"/>
          <w:sz w:val="24"/>
          <w:szCs w:val="24"/>
        </w:rPr>
        <w:t xml:space="preserve"> in the past,</w:t>
      </w:r>
      <w:r w:rsidRPr="00DB1D2C">
        <w:rPr>
          <w:rFonts w:ascii="Times New Roman" w:hAnsi="Times New Roman"/>
          <w:sz w:val="24"/>
          <w:szCs w:val="24"/>
        </w:rPr>
        <w:t xml:space="preserve"> albeit with little success.  This was largely due </w:t>
      </w:r>
      <w:r w:rsidR="00C5124B">
        <w:rPr>
          <w:rFonts w:ascii="Times New Roman" w:hAnsi="Times New Roman"/>
          <w:sz w:val="24"/>
          <w:szCs w:val="24"/>
        </w:rPr>
        <w:t xml:space="preserve">to lack of political commitment.  </w:t>
      </w:r>
      <w:r w:rsidR="007A6A6A" w:rsidRPr="00DB1D2C">
        <w:rPr>
          <w:rFonts w:ascii="Times New Roman" w:hAnsi="Times New Roman"/>
          <w:sz w:val="24"/>
          <w:szCs w:val="24"/>
        </w:rPr>
        <w:t xml:space="preserve">By giving the responsibility </w:t>
      </w:r>
      <w:r w:rsidR="00680B7F">
        <w:rPr>
          <w:rFonts w:ascii="Times New Roman" w:hAnsi="Times New Roman"/>
          <w:sz w:val="24"/>
          <w:szCs w:val="24"/>
        </w:rPr>
        <w:t xml:space="preserve">of public service reforms </w:t>
      </w:r>
      <w:r w:rsidR="007A6A6A" w:rsidRPr="00DB1D2C">
        <w:rPr>
          <w:rFonts w:ascii="Times New Roman" w:hAnsi="Times New Roman"/>
          <w:sz w:val="24"/>
          <w:szCs w:val="24"/>
        </w:rPr>
        <w:t>to the Vice President</w:t>
      </w:r>
      <w:r w:rsidR="00747CE3">
        <w:rPr>
          <w:rFonts w:ascii="Times New Roman" w:hAnsi="Times New Roman"/>
          <w:sz w:val="24"/>
          <w:szCs w:val="24"/>
        </w:rPr>
        <w:t>’s Office</w:t>
      </w:r>
      <w:r w:rsidR="007A6A6A" w:rsidRPr="00DB1D2C">
        <w:rPr>
          <w:rFonts w:ascii="Times New Roman" w:hAnsi="Times New Roman"/>
          <w:sz w:val="24"/>
          <w:szCs w:val="24"/>
        </w:rPr>
        <w:t xml:space="preserve"> to champion public service reforms, the new Government </w:t>
      </w:r>
      <w:r w:rsidR="00680B7F">
        <w:rPr>
          <w:rFonts w:ascii="Times New Roman" w:hAnsi="Times New Roman"/>
          <w:sz w:val="24"/>
          <w:szCs w:val="24"/>
        </w:rPr>
        <w:t xml:space="preserve">has </w:t>
      </w:r>
      <w:r w:rsidR="007A6A6A" w:rsidRPr="00DB1D2C">
        <w:rPr>
          <w:rFonts w:ascii="Times New Roman" w:hAnsi="Times New Roman"/>
          <w:sz w:val="24"/>
          <w:szCs w:val="24"/>
        </w:rPr>
        <w:t>show</w:t>
      </w:r>
      <w:r w:rsidR="00680B7F">
        <w:rPr>
          <w:rFonts w:ascii="Times New Roman" w:hAnsi="Times New Roman"/>
          <w:sz w:val="24"/>
          <w:szCs w:val="24"/>
        </w:rPr>
        <w:t>n</w:t>
      </w:r>
      <w:r w:rsidR="007A6A6A" w:rsidRPr="00DB1D2C">
        <w:rPr>
          <w:rFonts w:ascii="Times New Roman" w:hAnsi="Times New Roman"/>
          <w:sz w:val="24"/>
          <w:szCs w:val="24"/>
        </w:rPr>
        <w:t xml:space="preserve"> </w:t>
      </w:r>
      <w:r w:rsidR="00680B7F">
        <w:rPr>
          <w:rFonts w:ascii="Times New Roman" w:hAnsi="Times New Roman"/>
          <w:sz w:val="24"/>
          <w:szCs w:val="24"/>
        </w:rPr>
        <w:t xml:space="preserve">strong </w:t>
      </w:r>
      <w:r w:rsidR="007A6A6A" w:rsidRPr="00DB1D2C">
        <w:rPr>
          <w:rFonts w:ascii="Times New Roman" w:hAnsi="Times New Roman"/>
          <w:sz w:val="24"/>
          <w:szCs w:val="24"/>
        </w:rPr>
        <w:t>commitment.</w:t>
      </w:r>
    </w:p>
    <w:p w:rsidR="00BC25D7" w:rsidRPr="00DB1D2C" w:rsidRDefault="00BC25D7" w:rsidP="0037094A">
      <w:pPr>
        <w:pStyle w:val="Heading2"/>
        <w:numPr>
          <w:ilvl w:val="0"/>
          <w:numId w:val="19"/>
        </w:numPr>
        <w:ind w:left="720" w:hanging="720"/>
        <w:rPr>
          <w:rFonts w:ascii="Times New Roman" w:hAnsi="Times New Roman"/>
          <w:i w:val="0"/>
          <w:sz w:val="24"/>
          <w:szCs w:val="24"/>
        </w:rPr>
      </w:pPr>
      <w:r w:rsidRPr="00DB1D2C">
        <w:rPr>
          <w:rFonts w:ascii="Times New Roman" w:hAnsi="Times New Roman"/>
          <w:i w:val="0"/>
          <w:sz w:val="24"/>
          <w:szCs w:val="24"/>
        </w:rPr>
        <w:t>Conclusion</w:t>
      </w:r>
    </w:p>
    <w:p w:rsidR="00BC25D7" w:rsidRPr="00DB1D2C" w:rsidRDefault="00BC25D7" w:rsidP="00BC25D7">
      <w:pPr>
        <w:pStyle w:val="BodyText2"/>
        <w:spacing w:after="0" w:line="240" w:lineRule="auto"/>
        <w:ind w:left="360"/>
        <w:rPr>
          <w:szCs w:val="24"/>
        </w:rPr>
      </w:pPr>
      <w:r w:rsidRPr="00DB1D2C">
        <w:rPr>
          <w:szCs w:val="24"/>
        </w:rPr>
        <w:t xml:space="preserve"> </w:t>
      </w:r>
    </w:p>
    <w:p w:rsidR="00CF1E21" w:rsidRPr="00DB1D2C" w:rsidRDefault="000E342E" w:rsidP="00680B7F">
      <w:pPr>
        <w:pStyle w:val="BodyText2"/>
        <w:spacing w:after="0" w:line="240" w:lineRule="auto"/>
        <w:jc w:val="both"/>
        <w:rPr>
          <w:szCs w:val="24"/>
        </w:rPr>
      </w:pPr>
      <w:r>
        <w:rPr>
          <w:szCs w:val="24"/>
        </w:rPr>
        <w:t xml:space="preserve">In conclusion, </w:t>
      </w:r>
      <w:r w:rsidR="00CF1E21">
        <w:rPr>
          <w:szCs w:val="24"/>
        </w:rPr>
        <w:t xml:space="preserve">it is evident that bringing the public service back to its pre-multiparty status, that of being ethical and professional, </w:t>
      </w:r>
      <w:r w:rsidR="00747CE3">
        <w:rPr>
          <w:szCs w:val="24"/>
        </w:rPr>
        <w:t xml:space="preserve">may </w:t>
      </w:r>
      <w:r w:rsidR="00CF1E21">
        <w:rPr>
          <w:szCs w:val="24"/>
        </w:rPr>
        <w:t xml:space="preserve">take quite a while.  However, </w:t>
      </w:r>
      <w:r w:rsidR="00680B7F">
        <w:rPr>
          <w:szCs w:val="24"/>
        </w:rPr>
        <w:t xml:space="preserve">2014 </w:t>
      </w:r>
      <w:r w:rsidR="00CF1E21">
        <w:rPr>
          <w:szCs w:val="24"/>
        </w:rPr>
        <w:t>developments i</w:t>
      </w:r>
      <w:r w:rsidR="00747CE3">
        <w:rPr>
          <w:szCs w:val="24"/>
        </w:rPr>
        <w:t>n</w:t>
      </w:r>
      <w:r w:rsidR="00CF1E21">
        <w:rPr>
          <w:szCs w:val="24"/>
        </w:rPr>
        <w:t xml:space="preserve"> this sub-sector </w:t>
      </w:r>
      <w:r w:rsidR="00747CE3">
        <w:rPr>
          <w:szCs w:val="24"/>
        </w:rPr>
        <w:t xml:space="preserve">are a good start and </w:t>
      </w:r>
      <w:r w:rsidR="00CF1E21">
        <w:rPr>
          <w:szCs w:val="24"/>
        </w:rPr>
        <w:t xml:space="preserve">give some ray of hope.  </w:t>
      </w:r>
      <w:r w:rsidR="00680B7F">
        <w:rPr>
          <w:szCs w:val="24"/>
        </w:rPr>
        <w:t xml:space="preserve">The establishment of the </w:t>
      </w:r>
      <w:r w:rsidR="00747CE3">
        <w:rPr>
          <w:szCs w:val="24"/>
        </w:rPr>
        <w:t xml:space="preserve">Public Service Reform </w:t>
      </w:r>
      <w:r w:rsidR="00680B7F">
        <w:rPr>
          <w:szCs w:val="24"/>
        </w:rPr>
        <w:t>Commission</w:t>
      </w:r>
      <w:r w:rsidR="00CF1E21">
        <w:rPr>
          <w:szCs w:val="24"/>
        </w:rPr>
        <w:t>,</w:t>
      </w:r>
      <w:r w:rsidR="00680B7F">
        <w:rPr>
          <w:szCs w:val="24"/>
        </w:rPr>
        <w:t xml:space="preserve"> </w:t>
      </w:r>
      <w:r w:rsidR="00CF1E21">
        <w:rPr>
          <w:szCs w:val="24"/>
        </w:rPr>
        <w:t xml:space="preserve">the work done so far towards galvanizing support for reforms from </w:t>
      </w:r>
      <w:r w:rsidR="00747CE3">
        <w:rPr>
          <w:szCs w:val="24"/>
        </w:rPr>
        <w:t xml:space="preserve">all stakeholders including </w:t>
      </w:r>
      <w:r w:rsidR="00CF1E21">
        <w:rPr>
          <w:szCs w:val="24"/>
        </w:rPr>
        <w:t xml:space="preserve">the citizenry, and </w:t>
      </w:r>
      <w:r w:rsidR="00747CE3">
        <w:rPr>
          <w:szCs w:val="24"/>
        </w:rPr>
        <w:t xml:space="preserve">the hands-on leadership and </w:t>
      </w:r>
      <w:r w:rsidR="00680B7F">
        <w:rPr>
          <w:szCs w:val="24"/>
        </w:rPr>
        <w:t xml:space="preserve">direction </w:t>
      </w:r>
      <w:r w:rsidR="00747CE3">
        <w:rPr>
          <w:szCs w:val="24"/>
        </w:rPr>
        <w:t xml:space="preserve">being championed </w:t>
      </w:r>
      <w:r w:rsidR="00FA5C6D">
        <w:rPr>
          <w:szCs w:val="24"/>
        </w:rPr>
        <w:t>b</w:t>
      </w:r>
      <w:r w:rsidR="00680B7F">
        <w:rPr>
          <w:szCs w:val="24"/>
        </w:rPr>
        <w:t xml:space="preserve">y the Vice President to change Malawi’s way of doing business </w:t>
      </w:r>
      <w:r w:rsidR="00CF1E21">
        <w:rPr>
          <w:szCs w:val="24"/>
        </w:rPr>
        <w:t xml:space="preserve">provides an unparalleled opportunity for the Malawian citizenry and development partners to rally around and support the </w:t>
      </w:r>
      <w:r w:rsidR="00747CE3">
        <w:rPr>
          <w:szCs w:val="24"/>
        </w:rPr>
        <w:t xml:space="preserve">reform </w:t>
      </w:r>
      <w:r w:rsidR="00CF1E21">
        <w:rPr>
          <w:szCs w:val="24"/>
        </w:rPr>
        <w:t xml:space="preserve">efforts.  </w:t>
      </w:r>
    </w:p>
    <w:p w:rsidR="00BC25D7" w:rsidRPr="00DB1D2C" w:rsidRDefault="00BC25D7" w:rsidP="004F08FA">
      <w:pPr>
        <w:pStyle w:val="Heading2"/>
        <w:numPr>
          <w:ilvl w:val="0"/>
          <w:numId w:val="19"/>
        </w:numPr>
        <w:ind w:left="720" w:hanging="720"/>
        <w:rPr>
          <w:rFonts w:ascii="Times New Roman" w:hAnsi="Times New Roman"/>
          <w:i w:val="0"/>
          <w:sz w:val="24"/>
          <w:szCs w:val="24"/>
        </w:rPr>
      </w:pPr>
      <w:r w:rsidRPr="00DB1D2C">
        <w:rPr>
          <w:rFonts w:ascii="Times New Roman" w:hAnsi="Times New Roman"/>
          <w:i w:val="0"/>
          <w:sz w:val="24"/>
          <w:szCs w:val="24"/>
        </w:rPr>
        <w:lastRenderedPageBreak/>
        <w:t>Future Work Plan</w:t>
      </w:r>
    </w:p>
    <w:p w:rsidR="001A324F" w:rsidRPr="00DB1D2C" w:rsidRDefault="001A324F" w:rsidP="00BC25D7"/>
    <w:p w:rsidR="00BC25D7" w:rsidRPr="00DB1D2C" w:rsidRDefault="001A324F" w:rsidP="00897D05">
      <w:pPr>
        <w:jc w:val="both"/>
      </w:pPr>
      <w:r w:rsidRPr="00DB1D2C">
        <w:t xml:space="preserve">A decision has been made that future work by UNDP Country Office in the area of public service reforms area will be contingent upon the </w:t>
      </w:r>
      <w:r w:rsidR="00747CE3">
        <w:t xml:space="preserve">participation </w:t>
      </w:r>
      <w:r w:rsidRPr="00DB1D2C">
        <w:t>of other DPs</w:t>
      </w:r>
      <w:r w:rsidR="00747CE3">
        <w:t xml:space="preserve"> in providing support towards the reforms</w:t>
      </w:r>
      <w:r w:rsidRPr="00DB1D2C">
        <w:t xml:space="preserve">.  Further to this, it will also depend on whether UNDP will have the </w:t>
      </w:r>
      <w:r w:rsidR="00747CE3">
        <w:t xml:space="preserve">coordination </w:t>
      </w:r>
      <w:r w:rsidRPr="00DB1D2C">
        <w:t xml:space="preserve">role.  This decision was made considering the past experience </w:t>
      </w:r>
      <w:r w:rsidR="00747CE3">
        <w:t xml:space="preserve">whereby UNDP has been the sole </w:t>
      </w:r>
      <w:r w:rsidR="009914AF">
        <w:t xml:space="preserve">financial provider </w:t>
      </w:r>
      <w:r w:rsidR="00747CE3">
        <w:t xml:space="preserve">albeit with limited resources </w:t>
      </w:r>
      <w:r w:rsidRPr="00DB1D2C">
        <w:t xml:space="preserve">and </w:t>
      </w:r>
      <w:r w:rsidR="00747CE3">
        <w:t xml:space="preserve">yet </w:t>
      </w:r>
      <w:r w:rsidR="009914AF">
        <w:t xml:space="preserve">considerable </w:t>
      </w:r>
      <w:r w:rsidRPr="00DB1D2C">
        <w:t xml:space="preserve">funding </w:t>
      </w:r>
      <w:r w:rsidR="009914AF">
        <w:t xml:space="preserve">is needed if reforms are to have the desired impact. </w:t>
      </w:r>
      <w:r w:rsidRPr="00DB1D2C">
        <w:t xml:space="preserve"> </w:t>
      </w:r>
    </w:p>
    <w:p w:rsidR="00BC25D7" w:rsidRPr="00DB1D2C" w:rsidRDefault="00BC25D7" w:rsidP="00BC25D7">
      <w:pPr>
        <w:pStyle w:val="BodyText2"/>
        <w:spacing w:after="0" w:line="240" w:lineRule="auto"/>
        <w:ind w:left="360"/>
        <w:rPr>
          <w:szCs w:val="24"/>
        </w:rPr>
      </w:pPr>
    </w:p>
    <w:p w:rsidR="007B0875" w:rsidRDefault="007B0875" w:rsidP="002875B9">
      <w:pPr>
        <w:rPr>
          <w:b/>
        </w:rPr>
      </w:pPr>
    </w:p>
    <w:p w:rsidR="007B0875" w:rsidRDefault="007B0875" w:rsidP="002875B9">
      <w:pPr>
        <w:rPr>
          <w:b/>
        </w:rPr>
      </w:pPr>
    </w:p>
    <w:p w:rsidR="00DA1C24" w:rsidRPr="00DB1D2C" w:rsidRDefault="00DA1C24" w:rsidP="002875B9">
      <w:pPr>
        <w:rPr>
          <w:b/>
        </w:rPr>
      </w:pPr>
      <w:r w:rsidRPr="00DB1D2C">
        <w:rPr>
          <w:b/>
        </w:rPr>
        <w:t>Annexes:</w:t>
      </w:r>
    </w:p>
    <w:p w:rsidR="00D06F98" w:rsidRPr="00DB1D2C" w:rsidRDefault="00D06F98" w:rsidP="002875B9">
      <w:pPr>
        <w:rPr>
          <w:b/>
        </w:rPr>
      </w:pPr>
    </w:p>
    <w:p w:rsidR="00DA1C24" w:rsidRPr="00DB1D2C" w:rsidRDefault="00DA1C24" w:rsidP="000E342E">
      <w:pPr>
        <w:pStyle w:val="ListParagraph"/>
        <w:numPr>
          <w:ilvl w:val="0"/>
          <w:numId w:val="10"/>
        </w:numPr>
        <w:spacing w:after="0" w:line="240" w:lineRule="auto"/>
        <w:ind w:hanging="720"/>
        <w:rPr>
          <w:rFonts w:ascii="Times New Roman" w:hAnsi="Times New Roman"/>
          <w:sz w:val="24"/>
          <w:szCs w:val="24"/>
        </w:rPr>
      </w:pPr>
      <w:r w:rsidRPr="00DB1D2C">
        <w:rPr>
          <w:rFonts w:ascii="Times New Roman" w:hAnsi="Times New Roman"/>
          <w:sz w:val="24"/>
          <w:szCs w:val="24"/>
        </w:rPr>
        <w:t>Financial Report</w:t>
      </w:r>
    </w:p>
    <w:p w:rsidR="004357BA" w:rsidRPr="00DB1D2C" w:rsidRDefault="004357BA" w:rsidP="004357BA">
      <w:pPr>
        <w:pStyle w:val="Subtitle"/>
        <w:spacing w:after="0"/>
        <w:rPr>
          <w:rFonts w:ascii="Times New Roman" w:hAnsi="Times New Roman"/>
        </w:rPr>
        <w:sectPr w:rsidR="004357BA" w:rsidRPr="00DB1D2C" w:rsidSect="00E74652">
          <w:headerReference w:type="default" r:id="rId12"/>
          <w:footerReference w:type="even" r:id="rId13"/>
          <w:footerReference w:type="default" r:id="rId14"/>
          <w:pgSz w:w="12240" w:h="15840"/>
          <w:pgMar w:top="1440" w:right="2160" w:bottom="1440" w:left="1440" w:header="720" w:footer="720" w:gutter="0"/>
          <w:cols w:space="720"/>
          <w:docGrid w:linePitch="360"/>
        </w:sectPr>
      </w:pPr>
    </w:p>
    <w:p w:rsidR="005E55EC" w:rsidRPr="00123D4C" w:rsidRDefault="005E55EC" w:rsidP="005E55EC">
      <w:pPr>
        <w:pStyle w:val="Header"/>
      </w:pPr>
      <w:r w:rsidRPr="00862611">
        <w:rPr>
          <w:b/>
        </w:rPr>
        <w:lastRenderedPageBreak/>
        <w:t>Annex II:</w:t>
      </w:r>
      <w:r w:rsidRPr="00123D4C">
        <w:t xml:space="preserve">  Expenditure by Output</w:t>
      </w:r>
    </w:p>
    <w:p w:rsidR="005E55EC" w:rsidRPr="00123D4C" w:rsidRDefault="005E55EC" w:rsidP="005E55EC"/>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2301"/>
        <w:gridCol w:w="1389"/>
        <w:gridCol w:w="1350"/>
        <w:gridCol w:w="1260"/>
      </w:tblGrid>
      <w:tr w:rsidR="005E55EC" w:rsidRPr="000E342E" w:rsidTr="003A058E">
        <w:trPr>
          <w:trHeight w:val="548"/>
        </w:trPr>
        <w:tc>
          <w:tcPr>
            <w:tcW w:w="6660" w:type="dxa"/>
            <w:shd w:val="clear" w:color="auto" w:fill="DBE5F1"/>
          </w:tcPr>
          <w:p w:rsidR="005E55EC" w:rsidRPr="000E342E" w:rsidRDefault="005E55EC" w:rsidP="00EC0938">
            <w:pPr>
              <w:jc w:val="center"/>
              <w:rPr>
                <w:color w:val="000000"/>
              </w:rPr>
            </w:pPr>
            <w:r w:rsidRPr="000E342E">
              <w:rPr>
                <w:color w:val="000000"/>
              </w:rPr>
              <w:t xml:space="preserve">Activity </w:t>
            </w:r>
          </w:p>
        </w:tc>
        <w:tc>
          <w:tcPr>
            <w:tcW w:w="2301" w:type="dxa"/>
            <w:shd w:val="clear" w:color="auto" w:fill="DBE5F1"/>
          </w:tcPr>
          <w:p w:rsidR="005E55EC" w:rsidRPr="000E342E" w:rsidRDefault="005E55EC" w:rsidP="00EC0938">
            <w:pPr>
              <w:jc w:val="center"/>
              <w:rPr>
                <w:color w:val="000000"/>
              </w:rPr>
            </w:pPr>
            <w:r w:rsidRPr="000E342E">
              <w:rPr>
                <w:color w:val="000000"/>
              </w:rPr>
              <w:t>Budget</w:t>
            </w:r>
          </w:p>
        </w:tc>
        <w:tc>
          <w:tcPr>
            <w:tcW w:w="1389" w:type="dxa"/>
            <w:shd w:val="clear" w:color="auto" w:fill="DBE5F1"/>
          </w:tcPr>
          <w:p w:rsidR="005E55EC" w:rsidRPr="000E342E" w:rsidRDefault="005E55EC" w:rsidP="00EC0938">
            <w:pPr>
              <w:jc w:val="center"/>
              <w:rPr>
                <w:color w:val="000000"/>
              </w:rPr>
            </w:pPr>
            <w:r w:rsidRPr="000E342E">
              <w:rPr>
                <w:color w:val="000000"/>
              </w:rPr>
              <w:t>Expenditure</w:t>
            </w:r>
          </w:p>
        </w:tc>
        <w:tc>
          <w:tcPr>
            <w:tcW w:w="1350" w:type="dxa"/>
            <w:shd w:val="clear" w:color="auto" w:fill="DBE5F1"/>
          </w:tcPr>
          <w:p w:rsidR="005E55EC" w:rsidRPr="000E342E" w:rsidRDefault="005E55EC" w:rsidP="00EC0938">
            <w:pPr>
              <w:jc w:val="center"/>
              <w:rPr>
                <w:color w:val="000000"/>
              </w:rPr>
            </w:pPr>
            <w:r w:rsidRPr="000E342E">
              <w:rPr>
                <w:color w:val="000000"/>
              </w:rPr>
              <w:t>Balance</w:t>
            </w:r>
          </w:p>
        </w:tc>
        <w:tc>
          <w:tcPr>
            <w:tcW w:w="1260" w:type="dxa"/>
            <w:shd w:val="clear" w:color="auto" w:fill="DBE5F1"/>
          </w:tcPr>
          <w:p w:rsidR="005E55EC" w:rsidRPr="000E342E" w:rsidRDefault="005E55EC" w:rsidP="00EC0938">
            <w:pPr>
              <w:jc w:val="center"/>
              <w:rPr>
                <w:color w:val="000000"/>
              </w:rPr>
            </w:pPr>
            <w:r w:rsidRPr="000E342E">
              <w:rPr>
                <w:color w:val="000000"/>
              </w:rPr>
              <w:t>Delivery Rate</w:t>
            </w:r>
          </w:p>
        </w:tc>
      </w:tr>
      <w:tr w:rsidR="005E55EC" w:rsidRPr="000E342E" w:rsidTr="003A058E">
        <w:tc>
          <w:tcPr>
            <w:tcW w:w="6660" w:type="dxa"/>
            <w:vMerge w:val="restart"/>
          </w:tcPr>
          <w:p w:rsidR="005E55EC" w:rsidRPr="000E342E" w:rsidRDefault="005E55EC" w:rsidP="00EC0938">
            <w:r w:rsidRPr="000E342E">
              <w:rPr>
                <w:b/>
              </w:rPr>
              <w:t>Output 1:</w:t>
            </w:r>
            <w:r w:rsidRPr="000E342E">
              <w:t xml:space="preserve"> </w:t>
            </w:r>
            <w:r w:rsidR="00CC677D" w:rsidRPr="000E342E">
              <w:rPr>
                <w:bCs/>
              </w:rPr>
              <w:t>Public service policies, regulations, strategies and guidelines revised to enhance service delivery.</w:t>
            </w:r>
          </w:p>
        </w:tc>
        <w:tc>
          <w:tcPr>
            <w:tcW w:w="2301" w:type="dxa"/>
          </w:tcPr>
          <w:p w:rsidR="005E55EC" w:rsidRPr="000E342E" w:rsidRDefault="005E55EC" w:rsidP="00B136FD">
            <w:r w:rsidRPr="000E342E">
              <w:t>TRAC</w:t>
            </w:r>
            <w:r w:rsidR="00B136FD" w:rsidRPr="000E342E">
              <w:t xml:space="preserve">: </w:t>
            </w:r>
            <w:r w:rsidR="00B136FD" w:rsidRPr="000E342E">
              <w:rPr>
                <w:b/>
              </w:rPr>
              <w:t>$202,790</w:t>
            </w:r>
          </w:p>
        </w:tc>
        <w:tc>
          <w:tcPr>
            <w:tcW w:w="1389" w:type="dxa"/>
          </w:tcPr>
          <w:p w:rsidR="005E55EC" w:rsidRPr="000E342E" w:rsidRDefault="00CC677D" w:rsidP="00CC677D">
            <w:pPr>
              <w:jc w:val="center"/>
              <w:rPr>
                <w:b/>
              </w:rPr>
            </w:pPr>
            <w:r w:rsidRPr="000E342E">
              <w:rPr>
                <w:b/>
              </w:rPr>
              <w:t>$198,798</w:t>
            </w:r>
          </w:p>
        </w:tc>
        <w:tc>
          <w:tcPr>
            <w:tcW w:w="1350" w:type="dxa"/>
          </w:tcPr>
          <w:p w:rsidR="005E55EC" w:rsidRPr="000E342E" w:rsidRDefault="00067B4D" w:rsidP="00CC677D">
            <w:pPr>
              <w:jc w:val="center"/>
              <w:rPr>
                <w:b/>
              </w:rPr>
            </w:pPr>
            <w:r w:rsidRPr="000E342E">
              <w:rPr>
                <w:b/>
              </w:rPr>
              <w:t>$1,106</w:t>
            </w:r>
          </w:p>
        </w:tc>
        <w:tc>
          <w:tcPr>
            <w:tcW w:w="1260" w:type="dxa"/>
          </w:tcPr>
          <w:p w:rsidR="005E55EC" w:rsidRPr="000E342E" w:rsidRDefault="00320B75" w:rsidP="00CC677D">
            <w:pPr>
              <w:jc w:val="center"/>
              <w:rPr>
                <w:b/>
              </w:rPr>
            </w:pPr>
            <w:r w:rsidRPr="000E342E">
              <w:rPr>
                <w:b/>
              </w:rPr>
              <w:t>98.0%</w:t>
            </w:r>
          </w:p>
        </w:tc>
      </w:tr>
      <w:tr w:rsidR="005E55EC" w:rsidRPr="000E342E" w:rsidTr="003A058E">
        <w:tc>
          <w:tcPr>
            <w:tcW w:w="6660" w:type="dxa"/>
            <w:vMerge/>
          </w:tcPr>
          <w:p w:rsidR="005E55EC" w:rsidRPr="000E342E" w:rsidRDefault="005E55EC" w:rsidP="00EC0938"/>
        </w:tc>
        <w:tc>
          <w:tcPr>
            <w:tcW w:w="2301" w:type="dxa"/>
          </w:tcPr>
          <w:p w:rsidR="005E55EC" w:rsidRPr="000E342E" w:rsidRDefault="005E55EC" w:rsidP="00EC0938">
            <w:r w:rsidRPr="000E342E">
              <w:t>OTHER</w:t>
            </w:r>
          </w:p>
        </w:tc>
        <w:tc>
          <w:tcPr>
            <w:tcW w:w="1389" w:type="dxa"/>
          </w:tcPr>
          <w:p w:rsidR="005E55EC" w:rsidRPr="000E342E" w:rsidRDefault="005E55EC" w:rsidP="00CC677D">
            <w:pPr>
              <w:jc w:val="center"/>
            </w:pPr>
          </w:p>
        </w:tc>
        <w:tc>
          <w:tcPr>
            <w:tcW w:w="1350" w:type="dxa"/>
          </w:tcPr>
          <w:p w:rsidR="005E55EC" w:rsidRPr="000E342E" w:rsidRDefault="005E55EC" w:rsidP="00CC677D">
            <w:pPr>
              <w:jc w:val="center"/>
              <w:rPr>
                <w:b/>
              </w:rPr>
            </w:pPr>
          </w:p>
        </w:tc>
        <w:tc>
          <w:tcPr>
            <w:tcW w:w="1260" w:type="dxa"/>
          </w:tcPr>
          <w:p w:rsidR="005E55EC" w:rsidRPr="000E342E" w:rsidRDefault="005E55EC" w:rsidP="00CC677D">
            <w:pPr>
              <w:jc w:val="center"/>
              <w:rPr>
                <w:b/>
              </w:rPr>
            </w:pPr>
          </w:p>
        </w:tc>
      </w:tr>
      <w:tr w:rsidR="005E55EC" w:rsidRPr="000E342E" w:rsidTr="003A058E">
        <w:tc>
          <w:tcPr>
            <w:tcW w:w="6660" w:type="dxa"/>
            <w:vMerge w:val="restart"/>
          </w:tcPr>
          <w:p w:rsidR="00CC677D" w:rsidRPr="000E342E" w:rsidRDefault="005E55EC" w:rsidP="00CC677D">
            <w:pPr>
              <w:jc w:val="both"/>
              <w:rPr>
                <w:bCs/>
              </w:rPr>
            </w:pPr>
            <w:r w:rsidRPr="000E342E">
              <w:rPr>
                <w:b/>
              </w:rPr>
              <w:t>Output 2:</w:t>
            </w:r>
            <w:r w:rsidRPr="000E342E">
              <w:t xml:space="preserve"> </w:t>
            </w:r>
            <w:r w:rsidR="00CC677D" w:rsidRPr="000E342E">
              <w:rPr>
                <w:bCs/>
              </w:rPr>
              <w:t>Public service leadership and management skills and competencies, values, ethics and integrity enhanced for efficient and effective service delivery.</w:t>
            </w:r>
          </w:p>
          <w:p w:rsidR="005E55EC" w:rsidRPr="000E342E" w:rsidRDefault="005E55EC" w:rsidP="00EC0938"/>
        </w:tc>
        <w:tc>
          <w:tcPr>
            <w:tcW w:w="2301" w:type="dxa"/>
          </w:tcPr>
          <w:p w:rsidR="005E55EC" w:rsidRPr="000E342E" w:rsidRDefault="005E55EC" w:rsidP="00EC0938">
            <w:r w:rsidRPr="000E342E">
              <w:t>TRAC</w:t>
            </w:r>
            <w:r w:rsidR="00CC677D" w:rsidRPr="000E342E">
              <w:rPr>
                <w:b/>
              </w:rPr>
              <w:t>: $270,486</w:t>
            </w:r>
          </w:p>
        </w:tc>
        <w:tc>
          <w:tcPr>
            <w:tcW w:w="1389" w:type="dxa"/>
          </w:tcPr>
          <w:p w:rsidR="005E55EC" w:rsidRPr="000E342E" w:rsidRDefault="00CC677D" w:rsidP="00CC677D">
            <w:pPr>
              <w:jc w:val="center"/>
              <w:rPr>
                <w:b/>
              </w:rPr>
            </w:pPr>
            <w:r w:rsidRPr="000E342E">
              <w:rPr>
                <w:b/>
              </w:rPr>
              <w:t>$270,362</w:t>
            </w:r>
          </w:p>
        </w:tc>
        <w:tc>
          <w:tcPr>
            <w:tcW w:w="1350" w:type="dxa"/>
          </w:tcPr>
          <w:p w:rsidR="005E55EC" w:rsidRPr="000E342E" w:rsidRDefault="00067B4D" w:rsidP="00067B4D">
            <w:pPr>
              <w:jc w:val="center"/>
              <w:rPr>
                <w:b/>
              </w:rPr>
            </w:pPr>
            <w:r w:rsidRPr="000E342E">
              <w:rPr>
                <w:b/>
              </w:rPr>
              <w:t>$0</w:t>
            </w:r>
          </w:p>
        </w:tc>
        <w:tc>
          <w:tcPr>
            <w:tcW w:w="1260" w:type="dxa"/>
          </w:tcPr>
          <w:p w:rsidR="005E55EC" w:rsidRPr="000E342E" w:rsidRDefault="00320B75" w:rsidP="00CC677D">
            <w:pPr>
              <w:jc w:val="center"/>
              <w:rPr>
                <w:b/>
              </w:rPr>
            </w:pPr>
            <w:r w:rsidRPr="000E342E">
              <w:rPr>
                <w:b/>
              </w:rPr>
              <w:t>100%</w:t>
            </w:r>
          </w:p>
        </w:tc>
      </w:tr>
      <w:tr w:rsidR="005E55EC" w:rsidRPr="000E342E" w:rsidTr="003A058E">
        <w:tc>
          <w:tcPr>
            <w:tcW w:w="6660" w:type="dxa"/>
            <w:vMerge/>
          </w:tcPr>
          <w:p w:rsidR="005E55EC" w:rsidRPr="000E342E" w:rsidRDefault="005E55EC" w:rsidP="00EC0938"/>
        </w:tc>
        <w:tc>
          <w:tcPr>
            <w:tcW w:w="2301" w:type="dxa"/>
          </w:tcPr>
          <w:p w:rsidR="005E55EC" w:rsidRPr="000E342E" w:rsidRDefault="005E55EC" w:rsidP="00EC0938">
            <w:r w:rsidRPr="000E342E">
              <w:t>OTHER</w:t>
            </w:r>
          </w:p>
        </w:tc>
        <w:tc>
          <w:tcPr>
            <w:tcW w:w="1389" w:type="dxa"/>
          </w:tcPr>
          <w:p w:rsidR="005E55EC" w:rsidRPr="000E342E" w:rsidRDefault="005E55EC" w:rsidP="00CC677D">
            <w:pPr>
              <w:jc w:val="center"/>
            </w:pPr>
          </w:p>
        </w:tc>
        <w:tc>
          <w:tcPr>
            <w:tcW w:w="1350" w:type="dxa"/>
          </w:tcPr>
          <w:p w:rsidR="005E55EC" w:rsidRPr="000E342E" w:rsidRDefault="005E55EC" w:rsidP="00CC677D">
            <w:pPr>
              <w:jc w:val="center"/>
              <w:rPr>
                <w:b/>
              </w:rPr>
            </w:pPr>
          </w:p>
        </w:tc>
        <w:tc>
          <w:tcPr>
            <w:tcW w:w="1260" w:type="dxa"/>
          </w:tcPr>
          <w:p w:rsidR="005E55EC" w:rsidRPr="000E342E" w:rsidRDefault="005E55EC" w:rsidP="00CC677D">
            <w:pPr>
              <w:jc w:val="center"/>
              <w:rPr>
                <w:b/>
              </w:rPr>
            </w:pPr>
          </w:p>
        </w:tc>
      </w:tr>
      <w:tr w:rsidR="005E55EC" w:rsidRPr="000E342E" w:rsidTr="003A058E">
        <w:tc>
          <w:tcPr>
            <w:tcW w:w="6660" w:type="dxa"/>
            <w:vMerge w:val="restart"/>
          </w:tcPr>
          <w:p w:rsidR="00CC677D" w:rsidRPr="000E342E" w:rsidRDefault="005E55EC" w:rsidP="00CC677D">
            <w:pPr>
              <w:jc w:val="both"/>
              <w:rPr>
                <w:bCs/>
              </w:rPr>
            </w:pPr>
            <w:r w:rsidRPr="000E342E">
              <w:rPr>
                <w:b/>
              </w:rPr>
              <w:t>Output 3:</w:t>
            </w:r>
            <w:r w:rsidRPr="000E342E">
              <w:t xml:space="preserve"> </w:t>
            </w:r>
            <w:r w:rsidR="00CC677D" w:rsidRPr="000E342E">
              <w:rPr>
                <w:bCs/>
              </w:rPr>
              <w:t>Human resource planning and management enhanced to improve recruitment and promotion systems within the public service.</w:t>
            </w:r>
          </w:p>
          <w:p w:rsidR="005E55EC" w:rsidRPr="000E342E" w:rsidRDefault="005E55EC" w:rsidP="00EC0938"/>
        </w:tc>
        <w:tc>
          <w:tcPr>
            <w:tcW w:w="2301" w:type="dxa"/>
          </w:tcPr>
          <w:p w:rsidR="005E55EC" w:rsidRPr="000E342E" w:rsidRDefault="005E55EC" w:rsidP="00CC677D">
            <w:r w:rsidRPr="000E342E">
              <w:t>TRAC</w:t>
            </w:r>
            <w:r w:rsidR="00CC677D" w:rsidRPr="000E342E">
              <w:t xml:space="preserve">: </w:t>
            </w:r>
            <w:r w:rsidR="00735CE6" w:rsidRPr="000E342E">
              <w:t xml:space="preserve">           -</w:t>
            </w:r>
          </w:p>
        </w:tc>
        <w:tc>
          <w:tcPr>
            <w:tcW w:w="1389" w:type="dxa"/>
          </w:tcPr>
          <w:p w:rsidR="005E55EC" w:rsidRPr="000E342E" w:rsidRDefault="00547355" w:rsidP="00CC677D">
            <w:pPr>
              <w:jc w:val="center"/>
              <w:rPr>
                <w:b/>
              </w:rPr>
            </w:pPr>
            <w:r w:rsidRPr="000E342E">
              <w:rPr>
                <w:b/>
              </w:rPr>
              <w:t>-</w:t>
            </w:r>
          </w:p>
        </w:tc>
        <w:tc>
          <w:tcPr>
            <w:tcW w:w="1350" w:type="dxa"/>
          </w:tcPr>
          <w:p w:rsidR="005E55EC" w:rsidRPr="000E342E" w:rsidRDefault="00547355" w:rsidP="00CC677D">
            <w:pPr>
              <w:jc w:val="center"/>
              <w:rPr>
                <w:b/>
              </w:rPr>
            </w:pPr>
            <w:r w:rsidRPr="000E342E">
              <w:rPr>
                <w:b/>
              </w:rPr>
              <w:t>-</w:t>
            </w:r>
          </w:p>
        </w:tc>
        <w:tc>
          <w:tcPr>
            <w:tcW w:w="1260" w:type="dxa"/>
          </w:tcPr>
          <w:p w:rsidR="005E55EC" w:rsidRPr="000E342E" w:rsidRDefault="00547355" w:rsidP="00547355">
            <w:pPr>
              <w:jc w:val="center"/>
              <w:rPr>
                <w:b/>
              </w:rPr>
            </w:pPr>
            <w:r w:rsidRPr="000E342E">
              <w:rPr>
                <w:b/>
              </w:rPr>
              <w:t>-</w:t>
            </w:r>
          </w:p>
        </w:tc>
      </w:tr>
      <w:tr w:rsidR="005E55EC" w:rsidRPr="000E342E" w:rsidTr="003A058E">
        <w:tc>
          <w:tcPr>
            <w:tcW w:w="6660" w:type="dxa"/>
            <w:vMerge/>
          </w:tcPr>
          <w:p w:rsidR="005E55EC" w:rsidRPr="000E342E" w:rsidRDefault="005E55EC" w:rsidP="00EC0938"/>
        </w:tc>
        <w:tc>
          <w:tcPr>
            <w:tcW w:w="2301" w:type="dxa"/>
          </w:tcPr>
          <w:p w:rsidR="005E55EC" w:rsidRPr="000E342E" w:rsidRDefault="005E55EC" w:rsidP="00EC0938">
            <w:r w:rsidRPr="000E342E">
              <w:t>OTHER</w:t>
            </w:r>
          </w:p>
        </w:tc>
        <w:tc>
          <w:tcPr>
            <w:tcW w:w="1389" w:type="dxa"/>
          </w:tcPr>
          <w:p w:rsidR="005E55EC" w:rsidRPr="000E342E" w:rsidRDefault="005E55EC" w:rsidP="00CC677D">
            <w:pPr>
              <w:jc w:val="center"/>
            </w:pPr>
          </w:p>
        </w:tc>
        <w:tc>
          <w:tcPr>
            <w:tcW w:w="1350" w:type="dxa"/>
          </w:tcPr>
          <w:p w:rsidR="005E55EC" w:rsidRPr="000E342E" w:rsidRDefault="005E55EC" w:rsidP="00CC677D">
            <w:pPr>
              <w:jc w:val="center"/>
              <w:rPr>
                <w:b/>
              </w:rPr>
            </w:pPr>
          </w:p>
        </w:tc>
        <w:tc>
          <w:tcPr>
            <w:tcW w:w="1260" w:type="dxa"/>
          </w:tcPr>
          <w:p w:rsidR="005E55EC" w:rsidRPr="000E342E" w:rsidRDefault="005E55EC" w:rsidP="00CC677D">
            <w:pPr>
              <w:jc w:val="center"/>
              <w:rPr>
                <w:b/>
              </w:rPr>
            </w:pPr>
          </w:p>
        </w:tc>
      </w:tr>
      <w:tr w:rsidR="00CC677D" w:rsidRPr="000E342E" w:rsidTr="003A058E">
        <w:tc>
          <w:tcPr>
            <w:tcW w:w="6660" w:type="dxa"/>
            <w:vMerge w:val="restart"/>
          </w:tcPr>
          <w:p w:rsidR="00CC677D" w:rsidRPr="000E342E" w:rsidRDefault="00CC677D" w:rsidP="00EC0938">
            <w:r w:rsidRPr="000E342E">
              <w:rPr>
                <w:b/>
              </w:rPr>
              <w:t>Output 4:</w:t>
            </w:r>
            <w:r w:rsidRPr="000E342E">
              <w:t xml:space="preserve"> </w:t>
            </w:r>
            <w:r w:rsidRPr="000E342E">
              <w:rPr>
                <w:bCs/>
              </w:rPr>
              <w:t>Information communication technology and e-government policy and standards strengthened for increased public service application.</w:t>
            </w:r>
          </w:p>
        </w:tc>
        <w:tc>
          <w:tcPr>
            <w:tcW w:w="2301" w:type="dxa"/>
            <w:tcBorders>
              <w:bottom w:val="double" w:sz="4" w:space="0" w:color="auto"/>
            </w:tcBorders>
          </w:tcPr>
          <w:p w:rsidR="00CC677D" w:rsidRPr="000E342E" w:rsidRDefault="00CC677D" w:rsidP="00EC0938">
            <w:r w:rsidRPr="000E342E">
              <w:t xml:space="preserve">TRAC: </w:t>
            </w:r>
            <w:r w:rsidRPr="000E342E">
              <w:rPr>
                <w:b/>
              </w:rPr>
              <w:t>$82,236</w:t>
            </w:r>
          </w:p>
        </w:tc>
        <w:tc>
          <w:tcPr>
            <w:tcW w:w="1389" w:type="dxa"/>
            <w:tcBorders>
              <w:bottom w:val="double" w:sz="4" w:space="0" w:color="auto"/>
            </w:tcBorders>
          </w:tcPr>
          <w:p w:rsidR="00CC677D" w:rsidRPr="000E342E" w:rsidRDefault="00CC677D" w:rsidP="00CC677D">
            <w:pPr>
              <w:jc w:val="center"/>
            </w:pPr>
            <w:r w:rsidRPr="000E342E">
              <w:rPr>
                <w:b/>
              </w:rPr>
              <w:t>$76,541</w:t>
            </w:r>
          </w:p>
        </w:tc>
        <w:tc>
          <w:tcPr>
            <w:tcW w:w="1350" w:type="dxa"/>
            <w:tcBorders>
              <w:bottom w:val="double" w:sz="4" w:space="0" w:color="auto"/>
            </w:tcBorders>
          </w:tcPr>
          <w:p w:rsidR="00CC677D" w:rsidRPr="000E342E" w:rsidRDefault="00067B4D" w:rsidP="00CC677D">
            <w:pPr>
              <w:jc w:val="center"/>
              <w:rPr>
                <w:b/>
              </w:rPr>
            </w:pPr>
            <w:r w:rsidRPr="000E342E">
              <w:rPr>
                <w:b/>
              </w:rPr>
              <w:t>$5,695</w:t>
            </w:r>
          </w:p>
        </w:tc>
        <w:tc>
          <w:tcPr>
            <w:tcW w:w="1260" w:type="dxa"/>
            <w:tcBorders>
              <w:bottom w:val="double" w:sz="4" w:space="0" w:color="auto"/>
            </w:tcBorders>
          </w:tcPr>
          <w:p w:rsidR="00CC677D" w:rsidRPr="000E342E" w:rsidRDefault="00320B75" w:rsidP="00CC677D">
            <w:pPr>
              <w:jc w:val="center"/>
              <w:rPr>
                <w:b/>
              </w:rPr>
            </w:pPr>
            <w:r w:rsidRPr="000E342E">
              <w:rPr>
                <w:b/>
              </w:rPr>
              <w:t>93.1%</w:t>
            </w:r>
          </w:p>
        </w:tc>
      </w:tr>
      <w:tr w:rsidR="00CC677D" w:rsidRPr="000E342E" w:rsidTr="003A058E">
        <w:tc>
          <w:tcPr>
            <w:tcW w:w="6660" w:type="dxa"/>
            <w:vMerge/>
          </w:tcPr>
          <w:p w:rsidR="00CC677D" w:rsidRPr="000E342E" w:rsidRDefault="00CC677D" w:rsidP="00EC0938"/>
        </w:tc>
        <w:tc>
          <w:tcPr>
            <w:tcW w:w="2301" w:type="dxa"/>
            <w:tcBorders>
              <w:bottom w:val="double" w:sz="4" w:space="0" w:color="auto"/>
            </w:tcBorders>
          </w:tcPr>
          <w:p w:rsidR="00CC677D" w:rsidRPr="000E342E" w:rsidRDefault="00CC677D" w:rsidP="00EC0938">
            <w:r w:rsidRPr="000E342E">
              <w:t>OTHER</w:t>
            </w:r>
          </w:p>
        </w:tc>
        <w:tc>
          <w:tcPr>
            <w:tcW w:w="1389" w:type="dxa"/>
            <w:tcBorders>
              <w:bottom w:val="double" w:sz="4" w:space="0" w:color="auto"/>
            </w:tcBorders>
          </w:tcPr>
          <w:p w:rsidR="00CC677D" w:rsidRPr="000E342E" w:rsidRDefault="00CC677D" w:rsidP="00CC677D">
            <w:pPr>
              <w:jc w:val="center"/>
            </w:pPr>
          </w:p>
        </w:tc>
        <w:tc>
          <w:tcPr>
            <w:tcW w:w="1350" w:type="dxa"/>
            <w:tcBorders>
              <w:bottom w:val="double" w:sz="4" w:space="0" w:color="auto"/>
            </w:tcBorders>
          </w:tcPr>
          <w:p w:rsidR="00CC677D" w:rsidRPr="000E342E" w:rsidRDefault="00CC677D" w:rsidP="00CC677D">
            <w:pPr>
              <w:jc w:val="center"/>
              <w:rPr>
                <w:b/>
              </w:rPr>
            </w:pPr>
          </w:p>
        </w:tc>
        <w:tc>
          <w:tcPr>
            <w:tcW w:w="1260" w:type="dxa"/>
            <w:tcBorders>
              <w:bottom w:val="double" w:sz="4" w:space="0" w:color="auto"/>
            </w:tcBorders>
          </w:tcPr>
          <w:p w:rsidR="00CC677D" w:rsidRPr="000E342E" w:rsidRDefault="00CC677D" w:rsidP="00CC677D">
            <w:pPr>
              <w:jc w:val="center"/>
              <w:rPr>
                <w:b/>
              </w:rPr>
            </w:pPr>
          </w:p>
        </w:tc>
      </w:tr>
      <w:tr w:rsidR="005E55EC" w:rsidRPr="000E342E" w:rsidTr="003A058E">
        <w:tc>
          <w:tcPr>
            <w:tcW w:w="6660" w:type="dxa"/>
            <w:vMerge w:val="restart"/>
          </w:tcPr>
          <w:p w:rsidR="005E55EC" w:rsidRPr="000E342E" w:rsidRDefault="005E55EC" w:rsidP="00EC0938">
            <w:r w:rsidRPr="000E342E">
              <w:rPr>
                <w:b/>
              </w:rPr>
              <w:t>Output 4:</w:t>
            </w:r>
            <w:r w:rsidRPr="000E342E">
              <w:t xml:space="preserve"> </w:t>
            </w:r>
            <w:r w:rsidR="00CC677D" w:rsidRPr="000E342E">
              <w:rPr>
                <w:bCs/>
              </w:rPr>
              <w:t>Project management and coordination.</w:t>
            </w:r>
          </w:p>
        </w:tc>
        <w:tc>
          <w:tcPr>
            <w:tcW w:w="2301" w:type="dxa"/>
            <w:tcBorders>
              <w:bottom w:val="double" w:sz="4" w:space="0" w:color="auto"/>
            </w:tcBorders>
          </w:tcPr>
          <w:p w:rsidR="005E55EC" w:rsidRPr="000E342E" w:rsidRDefault="005E55EC" w:rsidP="00EC0938">
            <w:r w:rsidRPr="000E342E">
              <w:t>TRAC</w:t>
            </w:r>
            <w:r w:rsidR="00CC677D" w:rsidRPr="000E342E">
              <w:t xml:space="preserve">: </w:t>
            </w:r>
            <w:r w:rsidR="00CC677D" w:rsidRPr="000E342E">
              <w:rPr>
                <w:b/>
              </w:rPr>
              <w:t>$444,990</w:t>
            </w:r>
          </w:p>
        </w:tc>
        <w:tc>
          <w:tcPr>
            <w:tcW w:w="1389" w:type="dxa"/>
            <w:tcBorders>
              <w:bottom w:val="double" w:sz="4" w:space="0" w:color="auto"/>
            </w:tcBorders>
          </w:tcPr>
          <w:p w:rsidR="005E55EC" w:rsidRPr="000E342E" w:rsidRDefault="00CC677D" w:rsidP="00CC677D">
            <w:pPr>
              <w:jc w:val="center"/>
              <w:rPr>
                <w:b/>
              </w:rPr>
            </w:pPr>
            <w:r w:rsidRPr="000E342E">
              <w:rPr>
                <w:b/>
              </w:rPr>
              <w:t>$</w:t>
            </w:r>
            <w:r w:rsidR="00067B4D" w:rsidRPr="000E342E">
              <w:rPr>
                <w:b/>
              </w:rPr>
              <w:t>444,269</w:t>
            </w:r>
          </w:p>
        </w:tc>
        <w:tc>
          <w:tcPr>
            <w:tcW w:w="1350" w:type="dxa"/>
            <w:tcBorders>
              <w:bottom w:val="double" w:sz="4" w:space="0" w:color="auto"/>
            </w:tcBorders>
          </w:tcPr>
          <w:p w:rsidR="005E55EC" w:rsidRPr="000E342E" w:rsidRDefault="00067B4D" w:rsidP="00CC677D">
            <w:pPr>
              <w:jc w:val="center"/>
              <w:rPr>
                <w:b/>
              </w:rPr>
            </w:pPr>
            <w:r w:rsidRPr="000E342E">
              <w:rPr>
                <w:b/>
              </w:rPr>
              <w:t>$0</w:t>
            </w:r>
          </w:p>
        </w:tc>
        <w:tc>
          <w:tcPr>
            <w:tcW w:w="1260" w:type="dxa"/>
            <w:tcBorders>
              <w:bottom w:val="double" w:sz="4" w:space="0" w:color="auto"/>
            </w:tcBorders>
          </w:tcPr>
          <w:p w:rsidR="005E55EC" w:rsidRPr="000E342E" w:rsidRDefault="00320B75" w:rsidP="00CC677D">
            <w:pPr>
              <w:jc w:val="center"/>
              <w:rPr>
                <w:b/>
              </w:rPr>
            </w:pPr>
            <w:r w:rsidRPr="000E342E">
              <w:rPr>
                <w:b/>
              </w:rPr>
              <w:t>99.8%</w:t>
            </w:r>
          </w:p>
        </w:tc>
      </w:tr>
      <w:tr w:rsidR="005E55EC" w:rsidRPr="000E342E" w:rsidTr="003A058E">
        <w:tc>
          <w:tcPr>
            <w:tcW w:w="6660" w:type="dxa"/>
            <w:vMerge/>
            <w:tcBorders>
              <w:bottom w:val="double" w:sz="4" w:space="0" w:color="auto"/>
            </w:tcBorders>
          </w:tcPr>
          <w:p w:rsidR="005E55EC" w:rsidRPr="000E342E" w:rsidRDefault="005E55EC" w:rsidP="00EC0938"/>
        </w:tc>
        <w:tc>
          <w:tcPr>
            <w:tcW w:w="2301" w:type="dxa"/>
            <w:tcBorders>
              <w:bottom w:val="double" w:sz="4" w:space="0" w:color="auto"/>
            </w:tcBorders>
          </w:tcPr>
          <w:p w:rsidR="005E55EC" w:rsidRPr="000E342E" w:rsidRDefault="005E55EC" w:rsidP="00EC0938">
            <w:r w:rsidRPr="000E342E">
              <w:t>OTHER</w:t>
            </w:r>
          </w:p>
        </w:tc>
        <w:tc>
          <w:tcPr>
            <w:tcW w:w="1389" w:type="dxa"/>
            <w:tcBorders>
              <w:bottom w:val="double" w:sz="4" w:space="0" w:color="auto"/>
            </w:tcBorders>
          </w:tcPr>
          <w:p w:rsidR="005E55EC" w:rsidRPr="000E342E" w:rsidRDefault="005E55EC" w:rsidP="00CC677D">
            <w:pPr>
              <w:jc w:val="center"/>
            </w:pPr>
          </w:p>
        </w:tc>
        <w:tc>
          <w:tcPr>
            <w:tcW w:w="1350" w:type="dxa"/>
            <w:tcBorders>
              <w:bottom w:val="double" w:sz="4" w:space="0" w:color="auto"/>
            </w:tcBorders>
          </w:tcPr>
          <w:p w:rsidR="005E55EC" w:rsidRPr="000E342E" w:rsidRDefault="005E55EC" w:rsidP="00CC677D">
            <w:pPr>
              <w:jc w:val="center"/>
              <w:rPr>
                <w:b/>
              </w:rPr>
            </w:pPr>
          </w:p>
        </w:tc>
        <w:tc>
          <w:tcPr>
            <w:tcW w:w="1260" w:type="dxa"/>
            <w:tcBorders>
              <w:bottom w:val="double" w:sz="4" w:space="0" w:color="auto"/>
            </w:tcBorders>
          </w:tcPr>
          <w:p w:rsidR="005E55EC" w:rsidRPr="000E342E" w:rsidRDefault="005E55EC" w:rsidP="00CC677D">
            <w:pPr>
              <w:jc w:val="center"/>
              <w:rPr>
                <w:b/>
              </w:rPr>
            </w:pPr>
          </w:p>
        </w:tc>
      </w:tr>
      <w:tr w:rsidR="005E55EC" w:rsidRPr="000E342E" w:rsidTr="003A058E">
        <w:tc>
          <w:tcPr>
            <w:tcW w:w="6660" w:type="dxa"/>
            <w:vMerge w:val="restart"/>
            <w:tcBorders>
              <w:top w:val="double" w:sz="4" w:space="0" w:color="auto"/>
            </w:tcBorders>
          </w:tcPr>
          <w:p w:rsidR="005E55EC" w:rsidRPr="000E342E" w:rsidRDefault="00862611" w:rsidP="00EC0938">
            <w:r w:rsidRPr="000E342E">
              <w:t>TOTAL</w:t>
            </w:r>
          </w:p>
        </w:tc>
        <w:tc>
          <w:tcPr>
            <w:tcW w:w="2301" w:type="dxa"/>
            <w:tcBorders>
              <w:top w:val="double" w:sz="4" w:space="0" w:color="auto"/>
              <w:bottom w:val="double" w:sz="4" w:space="0" w:color="auto"/>
            </w:tcBorders>
          </w:tcPr>
          <w:p w:rsidR="005E55EC" w:rsidRPr="000E342E" w:rsidRDefault="005E55EC" w:rsidP="00EC0938">
            <w:r w:rsidRPr="000E342E">
              <w:t>TRAC</w:t>
            </w:r>
            <w:r w:rsidR="00067B4D" w:rsidRPr="000E342E">
              <w:t xml:space="preserve">: </w:t>
            </w:r>
            <w:r w:rsidR="00067B4D" w:rsidRPr="000E342E">
              <w:rPr>
                <w:b/>
              </w:rPr>
              <w:t>$1,000,000</w:t>
            </w:r>
          </w:p>
        </w:tc>
        <w:tc>
          <w:tcPr>
            <w:tcW w:w="1389" w:type="dxa"/>
            <w:tcBorders>
              <w:top w:val="double" w:sz="4" w:space="0" w:color="auto"/>
              <w:bottom w:val="double" w:sz="4" w:space="0" w:color="auto"/>
            </w:tcBorders>
          </w:tcPr>
          <w:p w:rsidR="005E55EC" w:rsidRPr="000E342E" w:rsidRDefault="00067B4D" w:rsidP="00CC677D">
            <w:pPr>
              <w:jc w:val="center"/>
              <w:rPr>
                <w:b/>
              </w:rPr>
            </w:pPr>
            <w:r w:rsidRPr="000E342E">
              <w:rPr>
                <w:b/>
              </w:rPr>
              <w:t>$989,969</w:t>
            </w:r>
          </w:p>
        </w:tc>
        <w:tc>
          <w:tcPr>
            <w:tcW w:w="1350" w:type="dxa"/>
            <w:tcBorders>
              <w:top w:val="double" w:sz="4" w:space="0" w:color="auto"/>
              <w:bottom w:val="double" w:sz="4" w:space="0" w:color="auto"/>
            </w:tcBorders>
          </w:tcPr>
          <w:p w:rsidR="005E55EC" w:rsidRPr="000E342E" w:rsidRDefault="00067B4D" w:rsidP="00CC677D">
            <w:pPr>
              <w:jc w:val="center"/>
              <w:rPr>
                <w:b/>
              </w:rPr>
            </w:pPr>
            <w:r w:rsidRPr="000E342E">
              <w:rPr>
                <w:b/>
              </w:rPr>
              <w:t>$6,801</w:t>
            </w:r>
          </w:p>
        </w:tc>
        <w:tc>
          <w:tcPr>
            <w:tcW w:w="1260" w:type="dxa"/>
            <w:tcBorders>
              <w:top w:val="double" w:sz="4" w:space="0" w:color="auto"/>
              <w:bottom w:val="double" w:sz="4" w:space="0" w:color="auto"/>
            </w:tcBorders>
          </w:tcPr>
          <w:p w:rsidR="005E55EC" w:rsidRPr="000E342E" w:rsidRDefault="00320B75" w:rsidP="00CC677D">
            <w:pPr>
              <w:jc w:val="center"/>
              <w:rPr>
                <w:b/>
              </w:rPr>
            </w:pPr>
            <w:r w:rsidRPr="000E342E">
              <w:rPr>
                <w:b/>
              </w:rPr>
              <w:t>99.0%</w:t>
            </w:r>
          </w:p>
        </w:tc>
      </w:tr>
      <w:tr w:rsidR="005E55EC" w:rsidRPr="000E342E" w:rsidTr="003A058E">
        <w:tc>
          <w:tcPr>
            <w:tcW w:w="6660" w:type="dxa"/>
            <w:vMerge/>
            <w:tcBorders>
              <w:bottom w:val="double" w:sz="4" w:space="0" w:color="auto"/>
            </w:tcBorders>
          </w:tcPr>
          <w:p w:rsidR="005E55EC" w:rsidRPr="000E342E" w:rsidRDefault="005E55EC" w:rsidP="00EC0938"/>
        </w:tc>
        <w:tc>
          <w:tcPr>
            <w:tcW w:w="2301" w:type="dxa"/>
            <w:tcBorders>
              <w:top w:val="double" w:sz="4" w:space="0" w:color="auto"/>
              <w:bottom w:val="double" w:sz="4" w:space="0" w:color="auto"/>
            </w:tcBorders>
          </w:tcPr>
          <w:p w:rsidR="005E55EC" w:rsidRPr="000E342E" w:rsidRDefault="005E55EC" w:rsidP="00EC0938">
            <w:r w:rsidRPr="000E342E">
              <w:t>OTHER</w:t>
            </w:r>
          </w:p>
        </w:tc>
        <w:tc>
          <w:tcPr>
            <w:tcW w:w="1389" w:type="dxa"/>
            <w:tcBorders>
              <w:top w:val="double" w:sz="4" w:space="0" w:color="auto"/>
              <w:bottom w:val="double" w:sz="4" w:space="0" w:color="auto"/>
            </w:tcBorders>
          </w:tcPr>
          <w:p w:rsidR="005E55EC" w:rsidRPr="000E342E" w:rsidRDefault="005E55EC" w:rsidP="00CC677D">
            <w:pPr>
              <w:jc w:val="center"/>
            </w:pPr>
          </w:p>
        </w:tc>
        <w:tc>
          <w:tcPr>
            <w:tcW w:w="1350" w:type="dxa"/>
            <w:tcBorders>
              <w:top w:val="double" w:sz="4" w:space="0" w:color="auto"/>
              <w:bottom w:val="double" w:sz="4" w:space="0" w:color="auto"/>
            </w:tcBorders>
          </w:tcPr>
          <w:p w:rsidR="005E55EC" w:rsidRPr="000E342E" w:rsidRDefault="005E55EC" w:rsidP="00CC677D">
            <w:pPr>
              <w:jc w:val="center"/>
              <w:rPr>
                <w:b/>
              </w:rPr>
            </w:pPr>
          </w:p>
        </w:tc>
        <w:tc>
          <w:tcPr>
            <w:tcW w:w="1260" w:type="dxa"/>
            <w:tcBorders>
              <w:top w:val="double" w:sz="4" w:space="0" w:color="auto"/>
              <w:bottom w:val="double" w:sz="4" w:space="0" w:color="auto"/>
            </w:tcBorders>
          </w:tcPr>
          <w:p w:rsidR="005E55EC" w:rsidRPr="000E342E" w:rsidRDefault="005E55EC" w:rsidP="00CC677D">
            <w:pPr>
              <w:jc w:val="center"/>
              <w:rPr>
                <w:b/>
              </w:rPr>
            </w:pPr>
          </w:p>
        </w:tc>
      </w:tr>
    </w:tbl>
    <w:p w:rsidR="005E55EC" w:rsidRPr="00123D4C" w:rsidRDefault="005E55EC" w:rsidP="005E55EC"/>
    <w:p w:rsidR="005E55EC" w:rsidRPr="00123D4C" w:rsidRDefault="005E55EC" w:rsidP="005E55EC"/>
    <w:p w:rsidR="005E55EC" w:rsidRPr="004357BA" w:rsidRDefault="005E55EC" w:rsidP="004357BA">
      <w:pPr>
        <w:jc w:val="both"/>
        <w:rPr>
          <w:sz w:val="20"/>
          <w:szCs w:val="20"/>
        </w:rPr>
      </w:pPr>
    </w:p>
    <w:sectPr w:rsidR="005E55EC" w:rsidRPr="004357BA" w:rsidSect="00DC4C6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8AF" w:rsidRDefault="007E68AF" w:rsidP="0090239A">
      <w:r>
        <w:separator/>
      </w:r>
    </w:p>
  </w:endnote>
  <w:endnote w:type="continuationSeparator" w:id="0">
    <w:p w:rsidR="007E68AF" w:rsidRDefault="007E68AF" w:rsidP="0090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875" w:rsidRDefault="007B0875" w:rsidP="00C853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0875" w:rsidRDefault="007B0875" w:rsidP="00C853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423047"/>
      <w:docPartObj>
        <w:docPartGallery w:val="Page Numbers (Bottom of Page)"/>
        <w:docPartUnique/>
      </w:docPartObj>
    </w:sdtPr>
    <w:sdtEndPr/>
    <w:sdtContent>
      <w:p w:rsidR="007B0875" w:rsidRDefault="007B0875">
        <w:pPr>
          <w:pStyle w:val="Footer"/>
          <w:jc w:val="right"/>
        </w:pPr>
        <w:r>
          <w:t xml:space="preserve">Page | </w:t>
        </w:r>
        <w:r>
          <w:fldChar w:fldCharType="begin"/>
        </w:r>
        <w:r>
          <w:instrText xml:space="preserve"> PAGE   \* MERGEFORMAT </w:instrText>
        </w:r>
        <w:r>
          <w:fldChar w:fldCharType="separate"/>
        </w:r>
        <w:r w:rsidR="00946588">
          <w:rPr>
            <w:noProof/>
          </w:rPr>
          <w:t>15</w:t>
        </w:r>
        <w:r>
          <w:rPr>
            <w:noProof/>
          </w:rPr>
          <w:fldChar w:fldCharType="end"/>
        </w:r>
        <w:r>
          <w:t xml:space="preserve"> </w:t>
        </w:r>
      </w:p>
    </w:sdtContent>
  </w:sdt>
  <w:p w:rsidR="007B0875" w:rsidRDefault="007B0875" w:rsidP="00C853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8AF" w:rsidRDefault="007E68AF" w:rsidP="0090239A">
      <w:r>
        <w:separator/>
      </w:r>
    </w:p>
  </w:footnote>
  <w:footnote w:type="continuationSeparator" w:id="0">
    <w:p w:rsidR="007E68AF" w:rsidRDefault="007E68AF" w:rsidP="00902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875" w:rsidRDefault="007B0875">
    <w:pPr>
      <w:spacing w:line="264" w:lineRule="auto"/>
    </w:pPr>
  </w:p>
  <w:p w:rsidR="007B0875" w:rsidRDefault="007B0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2C3"/>
    <w:multiLevelType w:val="hybridMultilevel"/>
    <w:tmpl w:val="D70A16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638B5"/>
    <w:multiLevelType w:val="multilevel"/>
    <w:tmpl w:val="B98824E4"/>
    <w:lvl w:ilvl="0">
      <w:start w:val="1"/>
      <w:numFmt w:val="upperRoman"/>
      <w:lvlText w:val="%1."/>
      <w:lvlJc w:val="right"/>
      <w:pPr>
        <w:ind w:left="720" w:hanging="360"/>
      </w:pPr>
    </w:lvl>
    <w:lvl w:ilvl="1">
      <w:start w:val="9"/>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49C04B2"/>
    <w:multiLevelType w:val="hybridMultilevel"/>
    <w:tmpl w:val="4E34B6E6"/>
    <w:lvl w:ilvl="0" w:tplc="CC8A4E4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CD33F7B"/>
    <w:multiLevelType w:val="hybridMultilevel"/>
    <w:tmpl w:val="AA3E84A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D1F0336"/>
    <w:multiLevelType w:val="hybridMultilevel"/>
    <w:tmpl w:val="46EC35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EEC3945"/>
    <w:multiLevelType w:val="hybridMultilevel"/>
    <w:tmpl w:val="7B7E2432"/>
    <w:lvl w:ilvl="0" w:tplc="DEFC0418">
      <w:numFmt w:val="bullet"/>
      <w:lvlText w:val=""/>
      <w:lvlJc w:val="left"/>
      <w:pPr>
        <w:ind w:left="720" w:hanging="360"/>
      </w:pPr>
      <w:rPr>
        <w:rFonts w:ascii="Symbol" w:eastAsia="Calibr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D092C"/>
    <w:multiLevelType w:val="hybridMultilevel"/>
    <w:tmpl w:val="2BC0C08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F43263"/>
    <w:multiLevelType w:val="hybridMultilevel"/>
    <w:tmpl w:val="8970F7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D57CD9"/>
    <w:multiLevelType w:val="hybridMultilevel"/>
    <w:tmpl w:val="CB0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66519"/>
    <w:multiLevelType w:val="hybridMultilevel"/>
    <w:tmpl w:val="807C7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32896"/>
    <w:multiLevelType w:val="hybridMultilevel"/>
    <w:tmpl w:val="7ECA6C6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760310"/>
    <w:multiLevelType w:val="hybridMultilevel"/>
    <w:tmpl w:val="520CFBB8"/>
    <w:lvl w:ilvl="0" w:tplc="63DED2BE">
      <w:start w:val="1"/>
      <w:numFmt w:val="upperLetter"/>
      <w:lvlText w:val="%1."/>
      <w:lvlJc w:val="left"/>
      <w:pPr>
        <w:ind w:left="1080" w:hanging="72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55445"/>
    <w:multiLevelType w:val="hybridMultilevel"/>
    <w:tmpl w:val="2E7E1B64"/>
    <w:lvl w:ilvl="0" w:tplc="FDA8CDAC">
      <w:start w:val="1"/>
      <w:numFmt w:val="decimal"/>
      <w:lvlText w:val="%1."/>
      <w:lvlJc w:val="left"/>
      <w:pPr>
        <w:ind w:left="720" w:hanging="360"/>
      </w:pPr>
      <w:rPr>
        <w:rFonts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E00620"/>
    <w:multiLevelType w:val="hybridMultilevel"/>
    <w:tmpl w:val="6C2C375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942815"/>
    <w:multiLevelType w:val="hybridMultilevel"/>
    <w:tmpl w:val="DE7E3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712E4"/>
    <w:multiLevelType w:val="hybridMultilevel"/>
    <w:tmpl w:val="B3E848DE"/>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63D24EF"/>
    <w:multiLevelType w:val="multilevel"/>
    <w:tmpl w:val="57D86304"/>
    <w:lvl w:ilvl="0">
      <w:start w:val="1"/>
      <w:numFmt w:val="upperRoman"/>
      <w:lvlText w:val="%1."/>
      <w:lvlJc w:val="righ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nsid w:val="5A26381F"/>
    <w:multiLevelType w:val="hybridMultilevel"/>
    <w:tmpl w:val="7BE2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8D62CF"/>
    <w:multiLevelType w:val="hybridMultilevel"/>
    <w:tmpl w:val="ABB4880C"/>
    <w:lvl w:ilvl="0" w:tplc="D3366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4304F"/>
    <w:multiLevelType w:val="hybridMultilevel"/>
    <w:tmpl w:val="F156F8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5E496BC8"/>
    <w:multiLevelType w:val="hybridMultilevel"/>
    <w:tmpl w:val="369ECE82"/>
    <w:lvl w:ilvl="0" w:tplc="316C6C0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F22F6D"/>
    <w:multiLevelType w:val="hybridMultilevel"/>
    <w:tmpl w:val="13C4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720D06"/>
    <w:multiLevelType w:val="hybridMultilevel"/>
    <w:tmpl w:val="C59A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B5F56"/>
    <w:multiLevelType w:val="hybridMultilevel"/>
    <w:tmpl w:val="6EAA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252DB2"/>
    <w:multiLevelType w:val="hybridMultilevel"/>
    <w:tmpl w:val="7532636C"/>
    <w:lvl w:ilvl="0" w:tplc="316C6C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8E601A"/>
    <w:multiLevelType w:val="hybridMultilevel"/>
    <w:tmpl w:val="3B22D476"/>
    <w:lvl w:ilvl="0" w:tplc="04090003">
      <w:start w:val="1"/>
      <w:numFmt w:val="bullet"/>
      <w:lvlText w:val="o"/>
      <w:lvlJc w:val="left"/>
      <w:pPr>
        <w:ind w:left="765" w:hanging="360"/>
      </w:pPr>
      <w:rPr>
        <w:rFonts w:ascii="Courier New" w:hAnsi="Courier New" w:cs="Courier New"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654B4233"/>
    <w:multiLevelType w:val="hybridMultilevel"/>
    <w:tmpl w:val="CE342472"/>
    <w:lvl w:ilvl="0" w:tplc="E42035C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465DA1"/>
    <w:multiLevelType w:val="hybridMultilevel"/>
    <w:tmpl w:val="8258E79C"/>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CD03DF4"/>
    <w:multiLevelType w:val="hybridMultilevel"/>
    <w:tmpl w:val="3E04920E"/>
    <w:lvl w:ilvl="0" w:tplc="0809000D">
      <w:start w:val="1"/>
      <w:numFmt w:val="bullet"/>
      <w:lvlText w:val=""/>
      <w:lvlJc w:val="left"/>
      <w:pPr>
        <w:ind w:left="-522" w:hanging="360"/>
      </w:pPr>
      <w:rPr>
        <w:rFonts w:ascii="Wingdings" w:hAnsi="Wingdings" w:hint="default"/>
      </w:rPr>
    </w:lvl>
    <w:lvl w:ilvl="1" w:tplc="08090003" w:tentative="1">
      <w:start w:val="1"/>
      <w:numFmt w:val="bullet"/>
      <w:lvlText w:val="o"/>
      <w:lvlJc w:val="left"/>
      <w:pPr>
        <w:ind w:left="198" w:hanging="360"/>
      </w:pPr>
      <w:rPr>
        <w:rFonts w:ascii="Courier New" w:hAnsi="Courier New" w:cs="Courier New" w:hint="default"/>
      </w:rPr>
    </w:lvl>
    <w:lvl w:ilvl="2" w:tplc="08090005" w:tentative="1">
      <w:start w:val="1"/>
      <w:numFmt w:val="bullet"/>
      <w:lvlText w:val=""/>
      <w:lvlJc w:val="left"/>
      <w:pPr>
        <w:ind w:left="918" w:hanging="360"/>
      </w:pPr>
      <w:rPr>
        <w:rFonts w:ascii="Wingdings" w:hAnsi="Wingdings" w:hint="default"/>
      </w:rPr>
    </w:lvl>
    <w:lvl w:ilvl="3" w:tplc="08090001" w:tentative="1">
      <w:start w:val="1"/>
      <w:numFmt w:val="bullet"/>
      <w:lvlText w:val=""/>
      <w:lvlJc w:val="left"/>
      <w:pPr>
        <w:ind w:left="1638" w:hanging="360"/>
      </w:pPr>
      <w:rPr>
        <w:rFonts w:ascii="Symbol" w:hAnsi="Symbol" w:hint="default"/>
      </w:rPr>
    </w:lvl>
    <w:lvl w:ilvl="4" w:tplc="08090003" w:tentative="1">
      <w:start w:val="1"/>
      <w:numFmt w:val="bullet"/>
      <w:lvlText w:val="o"/>
      <w:lvlJc w:val="left"/>
      <w:pPr>
        <w:ind w:left="2358" w:hanging="360"/>
      </w:pPr>
      <w:rPr>
        <w:rFonts w:ascii="Courier New" w:hAnsi="Courier New" w:cs="Courier New" w:hint="default"/>
      </w:rPr>
    </w:lvl>
    <w:lvl w:ilvl="5" w:tplc="08090005" w:tentative="1">
      <w:start w:val="1"/>
      <w:numFmt w:val="bullet"/>
      <w:lvlText w:val=""/>
      <w:lvlJc w:val="left"/>
      <w:pPr>
        <w:ind w:left="3078" w:hanging="360"/>
      </w:pPr>
      <w:rPr>
        <w:rFonts w:ascii="Wingdings" w:hAnsi="Wingdings" w:hint="default"/>
      </w:rPr>
    </w:lvl>
    <w:lvl w:ilvl="6" w:tplc="08090001" w:tentative="1">
      <w:start w:val="1"/>
      <w:numFmt w:val="bullet"/>
      <w:lvlText w:val=""/>
      <w:lvlJc w:val="left"/>
      <w:pPr>
        <w:ind w:left="3798" w:hanging="360"/>
      </w:pPr>
      <w:rPr>
        <w:rFonts w:ascii="Symbol" w:hAnsi="Symbol" w:hint="default"/>
      </w:rPr>
    </w:lvl>
    <w:lvl w:ilvl="7" w:tplc="08090003" w:tentative="1">
      <w:start w:val="1"/>
      <w:numFmt w:val="bullet"/>
      <w:lvlText w:val="o"/>
      <w:lvlJc w:val="left"/>
      <w:pPr>
        <w:ind w:left="4518" w:hanging="360"/>
      </w:pPr>
      <w:rPr>
        <w:rFonts w:ascii="Courier New" w:hAnsi="Courier New" w:cs="Courier New" w:hint="default"/>
      </w:rPr>
    </w:lvl>
    <w:lvl w:ilvl="8" w:tplc="08090005" w:tentative="1">
      <w:start w:val="1"/>
      <w:numFmt w:val="bullet"/>
      <w:lvlText w:val=""/>
      <w:lvlJc w:val="left"/>
      <w:pPr>
        <w:ind w:left="5238" w:hanging="360"/>
      </w:pPr>
      <w:rPr>
        <w:rFonts w:ascii="Wingdings" w:hAnsi="Wingdings" w:hint="default"/>
      </w:rPr>
    </w:lvl>
  </w:abstractNum>
  <w:abstractNum w:abstractNumId="30">
    <w:nsid w:val="70FB28D8"/>
    <w:multiLevelType w:val="hybridMultilevel"/>
    <w:tmpl w:val="4822934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93227B"/>
    <w:multiLevelType w:val="hybridMultilevel"/>
    <w:tmpl w:val="B8FE8F96"/>
    <w:lvl w:ilvl="0" w:tplc="FDA8CDAC">
      <w:start w:val="1"/>
      <w:numFmt w:val="decimal"/>
      <w:lvlText w:val="%1."/>
      <w:lvlJc w:val="left"/>
      <w:pPr>
        <w:ind w:left="720" w:hanging="360"/>
      </w:pPr>
      <w:rPr>
        <w:rFonts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B2452A"/>
    <w:multiLevelType w:val="hybridMultilevel"/>
    <w:tmpl w:val="1912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AC4CBD"/>
    <w:multiLevelType w:val="hybridMultilevel"/>
    <w:tmpl w:val="86562DCA"/>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4">
    <w:nsid w:val="755B6991"/>
    <w:multiLevelType w:val="hybridMultilevel"/>
    <w:tmpl w:val="7696C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6C945E0"/>
    <w:multiLevelType w:val="hybridMultilevel"/>
    <w:tmpl w:val="D228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E61D24"/>
    <w:multiLevelType w:val="hybridMultilevel"/>
    <w:tmpl w:val="23D871C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135E0"/>
    <w:multiLevelType w:val="hybridMultilevel"/>
    <w:tmpl w:val="14EE313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8"/>
  </w:num>
  <w:num w:numId="4">
    <w:abstractNumId w:val="16"/>
  </w:num>
  <w:num w:numId="5">
    <w:abstractNumId w:val="14"/>
  </w:num>
  <w:num w:numId="6">
    <w:abstractNumId w:val="4"/>
  </w:num>
  <w:num w:numId="7">
    <w:abstractNumId w:val="30"/>
  </w:num>
  <w:num w:numId="8">
    <w:abstractNumId w:val="25"/>
  </w:num>
  <w:num w:numId="9">
    <w:abstractNumId w:val="21"/>
  </w:num>
  <w:num w:numId="10">
    <w:abstractNumId w:val="15"/>
  </w:num>
  <w:num w:numId="11">
    <w:abstractNumId w:val="37"/>
  </w:num>
  <w:num w:numId="12">
    <w:abstractNumId w:val="26"/>
  </w:num>
  <w:num w:numId="13">
    <w:abstractNumId w:val="33"/>
  </w:num>
  <w:num w:numId="14">
    <w:abstractNumId w:val="8"/>
  </w:num>
  <w:num w:numId="15">
    <w:abstractNumId w:val="3"/>
  </w:num>
  <w:num w:numId="16">
    <w:abstractNumId w:val="13"/>
  </w:num>
  <w:num w:numId="17">
    <w:abstractNumId w:val="32"/>
  </w:num>
  <w:num w:numId="18">
    <w:abstractNumId w:val="31"/>
  </w:num>
  <w:num w:numId="19">
    <w:abstractNumId w:val="27"/>
  </w:num>
  <w:num w:numId="20">
    <w:abstractNumId w:val="6"/>
  </w:num>
  <w:num w:numId="21">
    <w:abstractNumId w:val="2"/>
  </w:num>
  <w:num w:numId="22">
    <w:abstractNumId w:val="11"/>
  </w:num>
  <w:num w:numId="23">
    <w:abstractNumId w:val="19"/>
  </w:num>
  <w:num w:numId="24">
    <w:abstractNumId w:val="12"/>
  </w:num>
  <w:num w:numId="25">
    <w:abstractNumId w:val="34"/>
  </w:num>
  <w:num w:numId="26">
    <w:abstractNumId w:val="29"/>
  </w:num>
  <w:num w:numId="27">
    <w:abstractNumId w:val="0"/>
  </w:num>
  <w:num w:numId="28">
    <w:abstractNumId w:val="22"/>
  </w:num>
  <w:num w:numId="29">
    <w:abstractNumId w:val="20"/>
  </w:num>
  <w:num w:numId="30">
    <w:abstractNumId w:val="35"/>
  </w:num>
  <w:num w:numId="31">
    <w:abstractNumId w:val="5"/>
  </w:num>
  <w:num w:numId="32">
    <w:abstractNumId w:val="5"/>
  </w:num>
  <w:num w:numId="33">
    <w:abstractNumId w:val="18"/>
  </w:num>
  <w:num w:numId="34">
    <w:abstractNumId w:val="24"/>
  </w:num>
  <w:num w:numId="35">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3"/>
  </w:num>
  <w:num w:numId="39">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CC"/>
    <w:rsid w:val="00006405"/>
    <w:rsid w:val="00015696"/>
    <w:rsid w:val="00025D15"/>
    <w:rsid w:val="00033A71"/>
    <w:rsid w:val="000366D6"/>
    <w:rsid w:val="00037D21"/>
    <w:rsid w:val="000661A2"/>
    <w:rsid w:val="00067B4D"/>
    <w:rsid w:val="000A1198"/>
    <w:rsid w:val="000A46E6"/>
    <w:rsid w:val="000B340F"/>
    <w:rsid w:val="000B5AB7"/>
    <w:rsid w:val="000C2F04"/>
    <w:rsid w:val="000D0686"/>
    <w:rsid w:val="000D26CE"/>
    <w:rsid w:val="000D4EFE"/>
    <w:rsid w:val="000D5CFA"/>
    <w:rsid w:val="000E342E"/>
    <w:rsid w:val="000E4102"/>
    <w:rsid w:val="000E4FC4"/>
    <w:rsid w:val="000F052E"/>
    <w:rsid w:val="000F10F5"/>
    <w:rsid w:val="000F28CC"/>
    <w:rsid w:val="0010030D"/>
    <w:rsid w:val="001054E8"/>
    <w:rsid w:val="00110308"/>
    <w:rsid w:val="001303FA"/>
    <w:rsid w:val="00130804"/>
    <w:rsid w:val="0014229B"/>
    <w:rsid w:val="00161E04"/>
    <w:rsid w:val="00165C66"/>
    <w:rsid w:val="00166D9B"/>
    <w:rsid w:val="00167089"/>
    <w:rsid w:val="00173E0F"/>
    <w:rsid w:val="00181729"/>
    <w:rsid w:val="001922A0"/>
    <w:rsid w:val="001A1204"/>
    <w:rsid w:val="001A220B"/>
    <w:rsid w:val="001A324F"/>
    <w:rsid w:val="001A6BA5"/>
    <w:rsid w:val="001B20EE"/>
    <w:rsid w:val="001C11C6"/>
    <w:rsid w:val="001C13B8"/>
    <w:rsid w:val="001D05A0"/>
    <w:rsid w:val="001D7521"/>
    <w:rsid w:val="001E0118"/>
    <w:rsid w:val="001E5A59"/>
    <w:rsid w:val="001F41BA"/>
    <w:rsid w:val="00215B2E"/>
    <w:rsid w:val="00220560"/>
    <w:rsid w:val="00220E6C"/>
    <w:rsid w:val="00241CAD"/>
    <w:rsid w:val="00254CF8"/>
    <w:rsid w:val="002555A7"/>
    <w:rsid w:val="00262801"/>
    <w:rsid w:val="00280881"/>
    <w:rsid w:val="002875B9"/>
    <w:rsid w:val="0029011A"/>
    <w:rsid w:val="002B1180"/>
    <w:rsid w:val="002B19B1"/>
    <w:rsid w:val="002B542C"/>
    <w:rsid w:val="002C2A64"/>
    <w:rsid w:val="002F2852"/>
    <w:rsid w:val="002F4C0E"/>
    <w:rsid w:val="003003B8"/>
    <w:rsid w:val="00301A8E"/>
    <w:rsid w:val="0031679C"/>
    <w:rsid w:val="00317728"/>
    <w:rsid w:val="00320B75"/>
    <w:rsid w:val="00323D8A"/>
    <w:rsid w:val="003319A1"/>
    <w:rsid w:val="00342007"/>
    <w:rsid w:val="00343C97"/>
    <w:rsid w:val="003465CA"/>
    <w:rsid w:val="00356753"/>
    <w:rsid w:val="0037094A"/>
    <w:rsid w:val="003878AA"/>
    <w:rsid w:val="0039169B"/>
    <w:rsid w:val="00394DCF"/>
    <w:rsid w:val="0039734D"/>
    <w:rsid w:val="003A058E"/>
    <w:rsid w:val="003B086A"/>
    <w:rsid w:val="003B37D1"/>
    <w:rsid w:val="003C07E8"/>
    <w:rsid w:val="003C3F5F"/>
    <w:rsid w:val="003D564A"/>
    <w:rsid w:val="003E156D"/>
    <w:rsid w:val="003F423C"/>
    <w:rsid w:val="003F6291"/>
    <w:rsid w:val="003F648C"/>
    <w:rsid w:val="00402054"/>
    <w:rsid w:val="004035BC"/>
    <w:rsid w:val="00405A58"/>
    <w:rsid w:val="00412987"/>
    <w:rsid w:val="00420A86"/>
    <w:rsid w:val="004258F9"/>
    <w:rsid w:val="00427E20"/>
    <w:rsid w:val="004357BA"/>
    <w:rsid w:val="00435D2E"/>
    <w:rsid w:val="0043750E"/>
    <w:rsid w:val="00440C16"/>
    <w:rsid w:val="00450E97"/>
    <w:rsid w:val="00463616"/>
    <w:rsid w:val="0046544A"/>
    <w:rsid w:val="004712F2"/>
    <w:rsid w:val="00485CE5"/>
    <w:rsid w:val="00486C6F"/>
    <w:rsid w:val="004A1F4D"/>
    <w:rsid w:val="004A20D5"/>
    <w:rsid w:val="004B216F"/>
    <w:rsid w:val="004B6421"/>
    <w:rsid w:val="004E45FB"/>
    <w:rsid w:val="004F08FA"/>
    <w:rsid w:val="00506C4D"/>
    <w:rsid w:val="005164CC"/>
    <w:rsid w:val="0052181F"/>
    <w:rsid w:val="005455BF"/>
    <w:rsid w:val="00546737"/>
    <w:rsid w:val="00547355"/>
    <w:rsid w:val="00555B51"/>
    <w:rsid w:val="005632A2"/>
    <w:rsid w:val="00563AE6"/>
    <w:rsid w:val="005657DE"/>
    <w:rsid w:val="00574799"/>
    <w:rsid w:val="00577CAC"/>
    <w:rsid w:val="00585221"/>
    <w:rsid w:val="005933A0"/>
    <w:rsid w:val="005B2548"/>
    <w:rsid w:val="005B2943"/>
    <w:rsid w:val="005B54B8"/>
    <w:rsid w:val="005E55EC"/>
    <w:rsid w:val="005E7C34"/>
    <w:rsid w:val="00623138"/>
    <w:rsid w:val="006354ED"/>
    <w:rsid w:val="0064331F"/>
    <w:rsid w:val="00643EA9"/>
    <w:rsid w:val="0066179F"/>
    <w:rsid w:val="00670509"/>
    <w:rsid w:val="00680B7F"/>
    <w:rsid w:val="0068532D"/>
    <w:rsid w:val="00685E6D"/>
    <w:rsid w:val="0069208B"/>
    <w:rsid w:val="006A5AA9"/>
    <w:rsid w:val="006B342B"/>
    <w:rsid w:val="006C6988"/>
    <w:rsid w:val="006D4BC1"/>
    <w:rsid w:val="006D53EF"/>
    <w:rsid w:val="006E2C3E"/>
    <w:rsid w:val="006F3CB4"/>
    <w:rsid w:val="006F7D8B"/>
    <w:rsid w:val="00701996"/>
    <w:rsid w:val="00706CAE"/>
    <w:rsid w:val="007148A1"/>
    <w:rsid w:val="00735CE6"/>
    <w:rsid w:val="00735E08"/>
    <w:rsid w:val="00745E27"/>
    <w:rsid w:val="00747CE3"/>
    <w:rsid w:val="00764211"/>
    <w:rsid w:val="00775B36"/>
    <w:rsid w:val="00784D9F"/>
    <w:rsid w:val="00793CFC"/>
    <w:rsid w:val="007958E6"/>
    <w:rsid w:val="007A6A6A"/>
    <w:rsid w:val="007B0875"/>
    <w:rsid w:val="007B30DE"/>
    <w:rsid w:val="007C5F8E"/>
    <w:rsid w:val="007C7E19"/>
    <w:rsid w:val="007D5B6E"/>
    <w:rsid w:val="007E0FFF"/>
    <w:rsid w:val="007E68AF"/>
    <w:rsid w:val="007F15BC"/>
    <w:rsid w:val="007F260B"/>
    <w:rsid w:val="00805D4C"/>
    <w:rsid w:val="0081435A"/>
    <w:rsid w:val="00816B4E"/>
    <w:rsid w:val="0085283F"/>
    <w:rsid w:val="00862611"/>
    <w:rsid w:val="00865AD1"/>
    <w:rsid w:val="00870C92"/>
    <w:rsid w:val="0088138F"/>
    <w:rsid w:val="0089172E"/>
    <w:rsid w:val="008925A9"/>
    <w:rsid w:val="00897D05"/>
    <w:rsid w:val="008A36F9"/>
    <w:rsid w:val="008B603F"/>
    <w:rsid w:val="008C3824"/>
    <w:rsid w:val="008C5E3E"/>
    <w:rsid w:val="008D226B"/>
    <w:rsid w:val="008D3E73"/>
    <w:rsid w:val="008D63D8"/>
    <w:rsid w:val="008D6422"/>
    <w:rsid w:val="008E3375"/>
    <w:rsid w:val="008F3498"/>
    <w:rsid w:val="0090239A"/>
    <w:rsid w:val="00903DD8"/>
    <w:rsid w:val="00904489"/>
    <w:rsid w:val="00905EE4"/>
    <w:rsid w:val="00907D48"/>
    <w:rsid w:val="00914EC5"/>
    <w:rsid w:val="00926120"/>
    <w:rsid w:val="00931AEE"/>
    <w:rsid w:val="00946588"/>
    <w:rsid w:val="00950AA4"/>
    <w:rsid w:val="00960FA3"/>
    <w:rsid w:val="00967DF8"/>
    <w:rsid w:val="00972D69"/>
    <w:rsid w:val="00986959"/>
    <w:rsid w:val="009914AF"/>
    <w:rsid w:val="00993124"/>
    <w:rsid w:val="009A5355"/>
    <w:rsid w:val="009C6EDB"/>
    <w:rsid w:val="009C7451"/>
    <w:rsid w:val="009D0F18"/>
    <w:rsid w:val="009F20D4"/>
    <w:rsid w:val="009F27DE"/>
    <w:rsid w:val="009F2E58"/>
    <w:rsid w:val="009F3204"/>
    <w:rsid w:val="009F7A7D"/>
    <w:rsid w:val="00A0262C"/>
    <w:rsid w:val="00A0330E"/>
    <w:rsid w:val="00A057D1"/>
    <w:rsid w:val="00A10D2A"/>
    <w:rsid w:val="00A153F9"/>
    <w:rsid w:val="00A1557A"/>
    <w:rsid w:val="00A200F8"/>
    <w:rsid w:val="00A341CC"/>
    <w:rsid w:val="00A41C81"/>
    <w:rsid w:val="00A41FAF"/>
    <w:rsid w:val="00A42655"/>
    <w:rsid w:val="00A510C1"/>
    <w:rsid w:val="00A53FF8"/>
    <w:rsid w:val="00A60D1E"/>
    <w:rsid w:val="00A62320"/>
    <w:rsid w:val="00A66059"/>
    <w:rsid w:val="00A73164"/>
    <w:rsid w:val="00A7538A"/>
    <w:rsid w:val="00A87035"/>
    <w:rsid w:val="00A90912"/>
    <w:rsid w:val="00AB140E"/>
    <w:rsid w:val="00AB1F04"/>
    <w:rsid w:val="00AD1343"/>
    <w:rsid w:val="00AD6482"/>
    <w:rsid w:val="00AD6C38"/>
    <w:rsid w:val="00AE0C78"/>
    <w:rsid w:val="00AE5623"/>
    <w:rsid w:val="00AF43E7"/>
    <w:rsid w:val="00B0562F"/>
    <w:rsid w:val="00B05E61"/>
    <w:rsid w:val="00B11AB1"/>
    <w:rsid w:val="00B136FD"/>
    <w:rsid w:val="00B15C36"/>
    <w:rsid w:val="00B209DC"/>
    <w:rsid w:val="00B267C2"/>
    <w:rsid w:val="00B33E3B"/>
    <w:rsid w:val="00B4451D"/>
    <w:rsid w:val="00B50333"/>
    <w:rsid w:val="00B61CE6"/>
    <w:rsid w:val="00B70EF0"/>
    <w:rsid w:val="00B7375C"/>
    <w:rsid w:val="00B73D30"/>
    <w:rsid w:val="00B74334"/>
    <w:rsid w:val="00BA5C81"/>
    <w:rsid w:val="00BB5D1A"/>
    <w:rsid w:val="00BC25D7"/>
    <w:rsid w:val="00BC6D07"/>
    <w:rsid w:val="00BC79FA"/>
    <w:rsid w:val="00BD0C6B"/>
    <w:rsid w:val="00BE5134"/>
    <w:rsid w:val="00BE7A1A"/>
    <w:rsid w:val="00BF59FE"/>
    <w:rsid w:val="00C03234"/>
    <w:rsid w:val="00C06B00"/>
    <w:rsid w:val="00C14A10"/>
    <w:rsid w:val="00C16EED"/>
    <w:rsid w:val="00C20F35"/>
    <w:rsid w:val="00C25665"/>
    <w:rsid w:val="00C273B8"/>
    <w:rsid w:val="00C305DA"/>
    <w:rsid w:val="00C4327C"/>
    <w:rsid w:val="00C47F80"/>
    <w:rsid w:val="00C50CE6"/>
    <w:rsid w:val="00C5124B"/>
    <w:rsid w:val="00C675BE"/>
    <w:rsid w:val="00C70A71"/>
    <w:rsid w:val="00C75F06"/>
    <w:rsid w:val="00C82D8C"/>
    <w:rsid w:val="00C83169"/>
    <w:rsid w:val="00C853FD"/>
    <w:rsid w:val="00C85A43"/>
    <w:rsid w:val="00C90AC8"/>
    <w:rsid w:val="00C9438A"/>
    <w:rsid w:val="00CA026E"/>
    <w:rsid w:val="00CA5CE8"/>
    <w:rsid w:val="00CA7B91"/>
    <w:rsid w:val="00CA7EC0"/>
    <w:rsid w:val="00CB043D"/>
    <w:rsid w:val="00CB0A25"/>
    <w:rsid w:val="00CC093A"/>
    <w:rsid w:val="00CC18CE"/>
    <w:rsid w:val="00CC677D"/>
    <w:rsid w:val="00CD0E39"/>
    <w:rsid w:val="00CD404C"/>
    <w:rsid w:val="00CD50AD"/>
    <w:rsid w:val="00CE38C1"/>
    <w:rsid w:val="00CF1E21"/>
    <w:rsid w:val="00CF346B"/>
    <w:rsid w:val="00CF4660"/>
    <w:rsid w:val="00CF5D6A"/>
    <w:rsid w:val="00D06F98"/>
    <w:rsid w:val="00D2103E"/>
    <w:rsid w:val="00D357F8"/>
    <w:rsid w:val="00D45560"/>
    <w:rsid w:val="00D45B6A"/>
    <w:rsid w:val="00D63633"/>
    <w:rsid w:val="00D92BF5"/>
    <w:rsid w:val="00DA1C24"/>
    <w:rsid w:val="00DB1D2C"/>
    <w:rsid w:val="00DB1E50"/>
    <w:rsid w:val="00DC0D5D"/>
    <w:rsid w:val="00DC4C6E"/>
    <w:rsid w:val="00DD2C9E"/>
    <w:rsid w:val="00DD2CAC"/>
    <w:rsid w:val="00DD5BC0"/>
    <w:rsid w:val="00DE049A"/>
    <w:rsid w:val="00DE0B58"/>
    <w:rsid w:val="00DF6421"/>
    <w:rsid w:val="00E23F21"/>
    <w:rsid w:val="00E34B5E"/>
    <w:rsid w:val="00E46B2F"/>
    <w:rsid w:val="00E6760C"/>
    <w:rsid w:val="00E72119"/>
    <w:rsid w:val="00E74652"/>
    <w:rsid w:val="00E827D7"/>
    <w:rsid w:val="00E8653A"/>
    <w:rsid w:val="00EA2FAA"/>
    <w:rsid w:val="00EA616F"/>
    <w:rsid w:val="00EB2729"/>
    <w:rsid w:val="00EB6A07"/>
    <w:rsid w:val="00EC0938"/>
    <w:rsid w:val="00EC25EA"/>
    <w:rsid w:val="00F20675"/>
    <w:rsid w:val="00F26C6D"/>
    <w:rsid w:val="00F37B3F"/>
    <w:rsid w:val="00F40CD0"/>
    <w:rsid w:val="00F45E62"/>
    <w:rsid w:val="00F5131E"/>
    <w:rsid w:val="00F53B66"/>
    <w:rsid w:val="00F55695"/>
    <w:rsid w:val="00F61349"/>
    <w:rsid w:val="00F80E5F"/>
    <w:rsid w:val="00F82337"/>
    <w:rsid w:val="00F84B99"/>
    <w:rsid w:val="00F85C0C"/>
    <w:rsid w:val="00F870A7"/>
    <w:rsid w:val="00F95731"/>
    <w:rsid w:val="00FA5C6D"/>
    <w:rsid w:val="00FD531B"/>
    <w:rsid w:val="00FD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DA5271-78ED-4549-8AED-4E629D5C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BA"/>
    <w:rPr>
      <w:sz w:val="24"/>
      <w:szCs w:val="24"/>
      <w:lang w:val="en-US" w:eastAsia="en-US"/>
    </w:rPr>
  </w:style>
  <w:style w:type="paragraph" w:styleId="Heading1">
    <w:name w:val="heading 1"/>
    <w:basedOn w:val="Normal"/>
    <w:next w:val="Normal"/>
    <w:link w:val="Heading1Char"/>
    <w:qFormat/>
    <w:rsid w:val="00B74334"/>
    <w:pPr>
      <w:keepNext/>
      <w:spacing w:before="240" w:after="60"/>
      <w:outlineLvl w:val="0"/>
    </w:pPr>
    <w:rPr>
      <w:rFonts w:ascii="Myriad Pro" w:hAnsi="Myriad Pro"/>
      <w:b/>
      <w:bCs/>
      <w:kern w:val="32"/>
      <w:sz w:val="32"/>
      <w:szCs w:val="32"/>
    </w:rPr>
  </w:style>
  <w:style w:type="paragraph" w:styleId="Heading2">
    <w:name w:val="heading 2"/>
    <w:basedOn w:val="Normal"/>
    <w:next w:val="Normal"/>
    <w:link w:val="Heading2Char"/>
    <w:unhideWhenUsed/>
    <w:qFormat/>
    <w:rsid w:val="00D06F9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753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334"/>
    <w:rPr>
      <w:rFonts w:ascii="Myriad Pro" w:eastAsia="Times New Roman" w:hAnsi="Myriad Pro" w:cs="Times New Roman"/>
      <w:b/>
      <w:bCs/>
      <w:kern w:val="32"/>
      <w:sz w:val="32"/>
      <w:szCs w:val="32"/>
    </w:rPr>
  </w:style>
  <w:style w:type="paragraph" w:styleId="Subtitle">
    <w:name w:val="Subtitle"/>
    <w:basedOn w:val="Normal"/>
    <w:next w:val="Normal"/>
    <w:link w:val="SubtitleChar"/>
    <w:qFormat/>
    <w:rsid w:val="000D5CFA"/>
    <w:pPr>
      <w:spacing w:after="60"/>
      <w:outlineLvl w:val="1"/>
    </w:pPr>
    <w:rPr>
      <w:rFonts w:ascii="Myriad Pro" w:hAnsi="Myriad Pro"/>
      <w:b/>
      <w:i/>
    </w:rPr>
  </w:style>
  <w:style w:type="character" w:customStyle="1" w:styleId="SubtitleChar">
    <w:name w:val="Subtitle Char"/>
    <w:basedOn w:val="DefaultParagraphFont"/>
    <w:link w:val="Subtitle"/>
    <w:rsid w:val="000D5CFA"/>
    <w:rPr>
      <w:rFonts w:ascii="Myriad Pro" w:eastAsia="Times New Roman" w:hAnsi="Myriad Pro" w:cs="Times New Roman"/>
      <w:b/>
      <w:i/>
      <w:sz w:val="24"/>
      <w:szCs w:val="24"/>
    </w:rPr>
  </w:style>
  <w:style w:type="paragraph" w:styleId="ListParagraph">
    <w:name w:val="List Paragraph"/>
    <w:basedOn w:val="Normal"/>
    <w:uiPriority w:val="34"/>
    <w:qFormat/>
    <w:rsid w:val="00E46B2F"/>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8C3824"/>
    <w:pPr>
      <w:keepLines/>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90239A"/>
    <w:pPr>
      <w:tabs>
        <w:tab w:val="right" w:leader="dot" w:pos="8630"/>
      </w:tabs>
    </w:pPr>
    <w:rPr>
      <w:rFonts w:ascii="Myriad Pro" w:hAnsi="Myriad Pro"/>
      <w:b/>
      <w:noProof/>
    </w:rPr>
  </w:style>
  <w:style w:type="paragraph" w:styleId="TOC2">
    <w:name w:val="toc 2"/>
    <w:basedOn w:val="Normal"/>
    <w:next w:val="Normal"/>
    <w:autoRedefine/>
    <w:uiPriority w:val="39"/>
    <w:rsid w:val="008C3824"/>
    <w:pPr>
      <w:ind w:left="240"/>
    </w:pPr>
  </w:style>
  <w:style w:type="character" w:styleId="Hyperlink">
    <w:name w:val="Hyperlink"/>
    <w:basedOn w:val="DefaultParagraphFont"/>
    <w:uiPriority w:val="99"/>
    <w:unhideWhenUsed/>
    <w:rsid w:val="008C3824"/>
    <w:rPr>
      <w:color w:val="0000FF"/>
      <w:u w:val="single"/>
    </w:rPr>
  </w:style>
  <w:style w:type="paragraph" w:styleId="Header">
    <w:name w:val="header"/>
    <w:basedOn w:val="Normal"/>
    <w:link w:val="HeaderChar"/>
    <w:rsid w:val="0090239A"/>
    <w:pPr>
      <w:tabs>
        <w:tab w:val="center" w:pos="4680"/>
        <w:tab w:val="right" w:pos="9360"/>
      </w:tabs>
    </w:pPr>
  </w:style>
  <w:style w:type="character" w:customStyle="1" w:styleId="HeaderChar">
    <w:name w:val="Header Char"/>
    <w:basedOn w:val="DefaultParagraphFont"/>
    <w:link w:val="Header"/>
    <w:rsid w:val="0090239A"/>
    <w:rPr>
      <w:sz w:val="24"/>
      <w:szCs w:val="24"/>
    </w:rPr>
  </w:style>
  <w:style w:type="paragraph" w:styleId="Footer">
    <w:name w:val="footer"/>
    <w:basedOn w:val="Normal"/>
    <w:link w:val="FooterChar"/>
    <w:uiPriority w:val="99"/>
    <w:rsid w:val="0090239A"/>
    <w:pPr>
      <w:tabs>
        <w:tab w:val="center" w:pos="4680"/>
        <w:tab w:val="right" w:pos="9360"/>
      </w:tabs>
    </w:pPr>
  </w:style>
  <w:style w:type="character" w:customStyle="1" w:styleId="FooterChar">
    <w:name w:val="Footer Char"/>
    <w:basedOn w:val="DefaultParagraphFont"/>
    <w:link w:val="Footer"/>
    <w:uiPriority w:val="99"/>
    <w:rsid w:val="0090239A"/>
    <w:rPr>
      <w:sz w:val="24"/>
      <w:szCs w:val="24"/>
    </w:rPr>
  </w:style>
  <w:style w:type="table" w:styleId="TableGrid">
    <w:name w:val="Table Grid"/>
    <w:basedOn w:val="TableNormal"/>
    <w:rsid w:val="00AE56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A7538A"/>
    <w:rPr>
      <w:rFonts w:ascii="Arial" w:hAnsi="Arial" w:cs="Arial"/>
      <w:b/>
      <w:bCs/>
      <w:sz w:val="26"/>
      <w:szCs w:val="26"/>
    </w:rPr>
  </w:style>
  <w:style w:type="paragraph" w:styleId="FootnoteText">
    <w:name w:val="footnote text"/>
    <w:basedOn w:val="Normal"/>
    <w:link w:val="FootnoteTextChar"/>
    <w:rsid w:val="00A7538A"/>
    <w:rPr>
      <w:rFonts w:ascii="Courier" w:hAnsi="Courier"/>
      <w:sz w:val="20"/>
      <w:szCs w:val="20"/>
    </w:rPr>
  </w:style>
  <w:style w:type="character" w:customStyle="1" w:styleId="FootnoteTextChar">
    <w:name w:val="Footnote Text Char"/>
    <w:basedOn w:val="DefaultParagraphFont"/>
    <w:link w:val="FootnoteText"/>
    <w:rsid w:val="00A7538A"/>
    <w:rPr>
      <w:rFonts w:ascii="Courier" w:hAnsi="Courier"/>
    </w:rPr>
  </w:style>
  <w:style w:type="character" w:styleId="PageNumber">
    <w:name w:val="page number"/>
    <w:basedOn w:val="DefaultParagraphFont"/>
    <w:rsid w:val="00A7538A"/>
  </w:style>
  <w:style w:type="paragraph" w:styleId="BodyText">
    <w:name w:val="Body Text"/>
    <w:basedOn w:val="Normal"/>
    <w:link w:val="BodyTextChar"/>
    <w:rsid w:val="00865AD1"/>
    <w:rPr>
      <w:rFonts w:ascii="Univers" w:hAnsi="Univers"/>
      <w:sz w:val="22"/>
      <w:szCs w:val="20"/>
    </w:rPr>
  </w:style>
  <w:style w:type="character" w:customStyle="1" w:styleId="BodyTextChar">
    <w:name w:val="Body Text Char"/>
    <w:basedOn w:val="DefaultParagraphFont"/>
    <w:link w:val="BodyText"/>
    <w:rsid w:val="00865AD1"/>
    <w:rPr>
      <w:rFonts w:ascii="Univers" w:hAnsi="Univers"/>
      <w:sz w:val="22"/>
    </w:rPr>
  </w:style>
  <w:style w:type="paragraph" w:styleId="BodyText2">
    <w:name w:val="Body Text 2"/>
    <w:basedOn w:val="Normal"/>
    <w:link w:val="BodyText2Char"/>
    <w:uiPriority w:val="99"/>
    <w:unhideWhenUsed/>
    <w:rsid w:val="0064331F"/>
    <w:pPr>
      <w:spacing w:after="120" w:line="480" w:lineRule="auto"/>
    </w:pPr>
    <w:rPr>
      <w:szCs w:val="22"/>
      <w:lang w:val="en-GB" w:eastAsia="ja-JP"/>
    </w:rPr>
  </w:style>
  <w:style w:type="character" w:customStyle="1" w:styleId="BodyText2Char">
    <w:name w:val="Body Text 2 Char"/>
    <w:basedOn w:val="DefaultParagraphFont"/>
    <w:link w:val="BodyText2"/>
    <w:uiPriority w:val="99"/>
    <w:rsid w:val="0064331F"/>
    <w:rPr>
      <w:rFonts w:eastAsia="Times New Roman" w:cs="Times New Roman"/>
      <w:sz w:val="24"/>
      <w:szCs w:val="22"/>
      <w:lang w:val="en-GB" w:eastAsia="ja-JP"/>
    </w:rPr>
  </w:style>
  <w:style w:type="character" w:customStyle="1" w:styleId="Heading2Char">
    <w:name w:val="Heading 2 Char"/>
    <w:basedOn w:val="DefaultParagraphFont"/>
    <w:link w:val="Heading2"/>
    <w:rsid w:val="00D06F98"/>
    <w:rPr>
      <w:rFonts w:ascii="Cambria" w:eastAsia="Times New Roman" w:hAnsi="Cambria" w:cs="Times New Roman"/>
      <w:b/>
      <w:bCs/>
      <w:i/>
      <w:iCs/>
      <w:sz w:val="28"/>
      <w:szCs w:val="28"/>
    </w:rPr>
  </w:style>
  <w:style w:type="paragraph" w:styleId="BodyText3">
    <w:name w:val="Body Text 3"/>
    <w:basedOn w:val="Normal"/>
    <w:link w:val="BodyText3Char"/>
    <w:uiPriority w:val="99"/>
    <w:unhideWhenUsed/>
    <w:rsid w:val="004357BA"/>
    <w:pPr>
      <w:spacing w:after="120"/>
    </w:pPr>
    <w:rPr>
      <w:sz w:val="16"/>
      <w:szCs w:val="16"/>
      <w:lang w:val="en-GB" w:eastAsia="ja-JP"/>
    </w:rPr>
  </w:style>
  <w:style w:type="character" w:customStyle="1" w:styleId="BodyText3Char">
    <w:name w:val="Body Text 3 Char"/>
    <w:basedOn w:val="DefaultParagraphFont"/>
    <w:link w:val="BodyText3"/>
    <w:uiPriority w:val="99"/>
    <w:rsid w:val="004357BA"/>
    <w:rPr>
      <w:rFonts w:eastAsia="Times New Roman" w:cs="Times New Roman"/>
      <w:sz w:val="16"/>
      <w:szCs w:val="16"/>
      <w:lang w:val="en-GB" w:eastAsia="ja-JP"/>
    </w:rPr>
  </w:style>
  <w:style w:type="character" w:styleId="FootnoteReference">
    <w:name w:val="footnote reference"/>
    <w:basedOn w:val="DefaultParagraphFont"/>
    <w:rsid w:val="00546737"/>
    <w:rPr>
      <w:vertAlign w:val="superscript"/>
    </w:rPr>
  </w:style>
  <w:style w:type="paragraph" w:styleId="BalloonText">
    <w:name w:val="Balloon Text"/>
    <w:basedOn w:val="Normal"/>
    <w:link w:val="BalloonTextChar"/>
    <w:rsid w:val="005E55EC"/>
    <w:rPr>
      <w:rFonts w:ascii="Tahoma" w:hAnsi="Tahoma" w:cs="Tahoma"/>
      <w:sz w:val="16"/>
      <w:szCs w:val="16"/>
    </w:rPr>
  </w:style>
  <w:style w:type="character" w:customStyle="1" w:styleId="BalloonTextChar">
    <w:name w:val="Balloon Text Char"/>
    <w:basedOn w:val="DefaultParagraphFont"/>
    <w:link w:val="BalloonText"/>
    <w:rsid w:val="005E55EC"/>
    <w:rPr>
      <w:rFonts w:ascii="Tahoma" w:hAnsi="Tahoma" w:cs="Tahoma"/>
      <w:sz w:val="16"/>
      <w:szCs w:val="16"/>
      <w:lang w:val="en-US" w:eastAsia="en-US"/>
    </w:rPr>
  </w:style>
  <w:style w:type="paragraph" w:styleId="NoSpacing">
    <w:name w:val="No Spacing"/>
    <w:uiPriority w:val="1"/>
    <w:qFormat/>
    <w:rsid w:val="00BD0C6B"/>
    <w:rPr>
      <w:rFonts w:ascii="Calibri" w:eastAsia="Calibri" w:hAnsi="Calibri"/>
      <w:sz w:val="22"/>
      <w:szCs w:val="22"/>
      <w:lang w:val="en-US" w:eastAsia="en-US"/>
    </w:rPr>
  </w:style>
  <w:style w:type="paragraph" w:styleId="Title">
    <w:name w:val="Title"/>
    <w:basedOn w:val="Normal"/>
    <w:next w:val="Normal"/>
    <w:link w:val="TitleChar"/>
    <w:uiPriority w:val="10"/>
    <w:qFormat/>
    <w:rsid w:val="007E0FFF"/>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E0FFF"/>
    <w:rPr>
      <w:rFonts w:ascii="Cambria" w:hAnsi="Cambria"/>
      <w:b/>
      <w:bCs/>
      <w:kern w:val="28"/>
      <w:sz w:val="32"/>
      <w:szCs w:val="32"/>
      <w:lang w:val="en-US" w:eastAsia="en-US"/>
    </w:rPr>
  </w:style>
  <w:style w:type="paragraph" w:customStyle="1" w:styleId="Default">
    <w:name w:val="Default"/>
    <w:rsid w:val="0043750E"/>
    <w:pPr>
      <w:autoSpaceDE w:val="0"/>
      <w:autoSpaceDN w:val="0"/>
      <w:adjustRightInd w:val="0"/>
    </w:pPr>
    <w:rPr>
      <w:rFonts w:ascii="Cambria" w:hAnsi="Cambria" w:cs="Cambria"/>
      <w:color w:val="000000"/>
      <w:sz w:val="24"/>
      <w:szCs w:val="24"/>
      <w:lang w:val="en-US" w:eastAsia="en-US"/>
    </w:rPr>
  </w:style>
  <w:style w:type="paragraph" w:styleId="NormalWeb">
    <w:name w:val="Normal (Web)"/>
    <w:basedOn w:val="Normal"/>
    <w:uiPriority w:val="99"/>
    <w:semiHidden/>
    <w:unhideWhenUsed/>
    <w:rsid w:val="00405A58"/>
    <w:pPr>
      <w:spacing w:before="100" w:beforeAutospacing="1" w:after="100" w:afterAutospacing="1"/>
    </w:pPr>
    <w:rPr>
      <w:b/>
    </w:rPr>
  </w:style>
  <w:style w:type="paragraph" w:styleId="Caption">
    <w:name w:val="caption"/>
    <w:basedOn w:val="Normal"/>
    <w:next w:val="Normal"/>
    <w:unhideWhenUsed/>
    <w:qFormat/>
    <w:rsid w:val="00D45B6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2568">
      <w:bodyDiv w:val="1"/>
      <w:marLeft w:val="0"/>
      <w:marRight w:val="0"/>
      <w:marTop w:val="0"/>
      <w:marBottom w:val="0"/>
      <w:divBdr>
        <w:top w:val="none" w:sz="0" w:space="0" w:color="auto"/>
        <w:left w:val="none" w:sz="0" w:space="0" w:color="auto"/>
        <w:bottom w:val="none" w:sz="0" w:space="0" w:color="auto"/>
        <w:right w:val="none" w:sz="0" w:space="0" w:color="auto"/>
      </w:divBdr>
      <w:divsChild>
        <w:div w:id="844826667">
          <w:marLeft w:val="562"/>
          <w:marRight w:val="0"/>
          <w:marTop w:val="96"/>
          <w:marBottom w:val="0"/>
          <w:divBdr>
            <w:top w:val="none" w:sz="0" w:space="0" w:color="auto"/>
            <w:left w:val="none" w:sz="0" w:space="0" w:color="auto"/>
            <w:bottom w:val="none" w:sz="0" w:space="0" w:color="auto"/>
            <w:right w:val="none" w:sz="0" w:space="0" w:color="auto"/>
          </w:divBdr>
        </w:div>
        <w:div w:id="1355644837">
          <w:marLeft w:val="562"/>
          <w:marRight w:val="0"/>
          <w:marTop w:val="96"/>
          <w:marBottom w:val="0"/>
          <w:divBdr>
            <w:top w:val="none" w:sz="0" w:space="0" w:color="auto"/>
            <w:left w:val="none" w:sz="0" w:space="0" w:color="auto"/>
            <w:bottom w:val="none" w:sz="0" w:space="0" w:color="auto"/>
            <w:right w:val="none" w:sz="0" w:space="0" w:color="auto"/>
          </w:divBdr>
        </w:div>
      </w:divsChild>
    </w:div>
    <w:div w:id="258220502">
      <w:bodyDiv w:val="1"/>
      <w:marLeft w:val="0"/>
      <w:marRight w:val="0"/>
      <w:marTop w:val="0"/>
      <w:marBottom w:val="0"/>
      <w:divBdr>
        <w:top w:val="none" w:sz="0" w:space="0" w:color="auto"/>
        <w:left w:val="none" w:sz="0" w:space="0" w:color="auto"/>
        <w:bottom w:val="none" w:sz="0" w:space="0" w:color="auto"/>
        <w:right w:val="none" w:sz="0" w:space="0" w:color="auto"/>
      </w:divBdr>
      <w:divsChild>
        <w:div w:id="1642926792">
          <w:marLeft w:val="418"/>
          <w:marRight w:val="0"/>
          <w:marTop w:val="0"/>
          <w:marBottom w:val="0"/>
          <w:divBdr>
            <w:top w:val="none" w:sz="0" w:space="0" w:color="auto"/>
            <w:left w:val="none" w:sz="0" w:space="0" w:color="auto"/>
            <w:bottom w:val="none" w:sz="0" w:space="0" w:color="auto"/>
            <w:right w:val="none" w:sz="0" w:space="0" w:color="auto"/>
          </w:divBdr>
        </w:div>
      </w:divsChild>
    </w:div>
    <w:div w:id="644088201">
      <w:bodyDiv w:val="1"/>
      <w:marLeft w:val="0"/>
      <w:marRight w:val="0"/>
      <w:marTop w:val="0"/>
      <w:marBottom w:val="0"/>
      <w:divBdr>
        <w:top w:val="none" w:sz="0" w:space="0" w:color="auto"/>
        <w:left w:val="none" w:sz="0" w:space="0" w:color="auto"/>
        <w:bottom w:val="none" w:sz="0" w:space="0" w:color="auto"/>
        <w:right w:val="none" w:sz="0" w:space="0" w:color="auto"/>
      </w:divBdr>
    </w:div>
    <w:div w:id="931083578">
      <w:bodyDiv w:val="1"/>
      <w:marLeft w:val="0"/>
      <w:marRight w:val="0"/>
      <w:marTop w:val="0"/>
      <w:marBottom w:val="0"/>
      <w:divBdr>
        <w:top w:val="none" w:sz="0" w:space="0" w:color="auto"/>
        <w:left w:val="none" w:sz="0" w:space="0" w:color="auto"/>
        <w:bottom w:val="none" w:sz="0" w:space="0" w:color="auto"/>
        <w:right w:val="none" w:sz="0" w:space="0" w:color="auto"/>
      </w:divBdr>
    </w:div>
    <w:div w:id="934633093">
      <w:bodyDiv w:val="1"/>
      <w:marLeft w:val="0"/>
      <w:marRight w:val="0"/>
      <w:marTop w:val="0"/>
      <w:marBottom w:val="0"/>
      <w:divBdr>
        <w:top w:val="none" w:sz="0" w:space="0" w:color="auto"/>
        <w:left w:val="none" w:sz="0" w:space="0" w:color="auto"/>
        <w:bottom w:val="none" w:sz="0" w:space="0" w:color="auto"/>
        <w:right w:val="none" w:sz="0" w:space="0" w:color="auto"/>
      </w:divBdr>
    </w:div>
    <w:div w:id="1275945740">
      <w:bodyDiv w:val="1"/>
      <w:marLeft w:val="0"/>
      <w:marRight w:val="0"/>
      <w:marTop w:val="0"/>
      <w:marBottom w:val="0"/>
      <w:divBdr>
        <w:top w:val="none" w:sz="0" w:space="0" w:color="auto"/>
        <w:left w:val="none" w:sz="0" w:space="0" w:color="auto"/>
        <w:bottom w:val="none" w:sz="0" w:space="0" w:color="auto"/>
        <w:right w:val="none" w:sz="0" w:space="0" w:color="auto"/>
      </w:divBdr>
    </w:div>
    <w:div w:id="1388066882">
      <w:bodyDiv w:val="1"/>
      <w:marLeft w:val="0"/>
      <w:marRight w:val="0"/>
      <w:marTop w:val="0"/>
      <w:marBottom w:val="0"/>
      <w:divBdr>
        <w:top w:val="none" w:sz="0" w:space="0" w:color="auto"/>
        <w:left w:val="none" w:sz="0" w:space="0" w:color="auto"/>
        <w:bottom w:val="none" w:sz="0" w:space="0" w:color="auto"/>
        <w:right w:val="none" w:sz="0" w:space="0" w:color="auto"/>
      </w:divBdr>
    </w:div>
    <w:div w:id="1463234356">
      <w:bodyDiv w:val="1"/>
      <w:marLeft w:val="0"/>
      <w:marRight w:val="0"/>
      <w:marTop w:val="0"/>
      <w:marBottom w:val="0"/>
      <w:divBdr>
        <w:top w:val="none" w:sz="0" w:space="0" w:color="auto"/>
        <w:left w:val="none" w:sz="0" w:space="0" w:color="auto"/>
        <w:bottom w:val="none" w:sz="0" w:space="0" w:color="auto"/>
        <w:right w:val="none" w:sz="0" w:space="0" w:color="auto"/>
      </w:divBdr>
    </w:div>
    <w:div w:id="1534926381">
      <w:bodyDiv w:val="1"/>
      <w:marLeft w:val="0"/>
      <w:marRight w:val="0"/>
      <w:marTop w:val="0"/>
      <w:marBottom w:val="0"/>
      <w:divBdr>
        <w:top w:val="none" w:sz="0" w:space="0" w:color="auto"/>
        <w:left w:val="none" w:sz="0" w:space="0" w:color="auto"/>
        <w:bottom w:val="none" w:sz="0" w:space="0" w:color="auto"/>
        <w:right w:val="none" w:sz="0" w:space="0" w:color="auto"/>
      </w:divBdr>
    </w:div>
    <w:div w:id="1951353525">
      <w:bodyDiv w:val="1"/>
      <w:marLeft w:val="0"/>
      <w:marRight w:val="0"/>
      <w:marTop w:val="0"/>
      <w:marBottom w:val="0"/>
      <w:divBdr>
        <w:top w:val="none" w:sz="0" w:space="0" w:color="auto"/>
        <w:left w:val="none" w:sz="0" w:space="0" w:color="auto"/>
        <w:bottom w:val="none" w:sz="0" w:space="0" w:color="auto"/>
        <w:right w:val="none" w:sz="0" w:space="0" w:color="auto"/>
      </w:divBdr>
    </w:div>
    <w:div w:id="1991712395">
      <w:bodyDiv w:val="1"/>
      <w:marLeft w:val="0"/>
      <w:marRight w:val="0"/>
      <w:marTop w:val="0"/>
      <w:marBottom w:val="0"/>
      <w:divBdr>
        <w:top w:val="none" w:sz="0" w:space="0" w:color="auto"/>
        <w:left w:val="none" w:sz="0" w:space="0" w:color="auto"/>
        <w:bottom w:val="none" w:sz="0" w:space="0" w:color="auto"/>
        <w:right w:val="none" w:sz="0" w:space="0" w:color="auto"/>
      </w:divBdr>
    </w:div>
    <w:div w:id="2047100391">
      <w:bodyDiv w:val="1"/>
      <w:marLeft w:val="0"/>
      <w:marRight w:val="0"/>
      <w:marTop w:val="0"/>
      <w:marBottom w:val="0"/>
      <w:divBdr>
        <w:top w:val="none" w:sz="0" w:space="0" w:color="auto"/>
        <w:left w:val="none" w:sz="0" w:space="0" w:color="auto"/>
        <w:bottom w:val="none" w:sz="0" w:space="0" w:color="auto"/>
        <w:right w:val="none" w:sz="0" w:space="0" w:color="auto"/>
      </w:divBdr>
    </w:div>
    <w:div w:id="2061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2015-04-20T14:00:00+00:00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1544</Value>
      <Value>1</Value>
      <Value>763</Value>
    </TaxCatchAll>
    <c4e2ab2cc9354bbf9064eeb465a566ea xmlns="1ed4137b-41b2-488b-8250-6d369ec27664">
      <Terms xmlns="http://schemas.microsoft.com/office/infopath/2007/PartnerControls"/>
    </c4e2ab2cc9354bbf9064eeb465a566ea>
    <UndpProjectNo xmlns="1ed4137b-41b2-488b-8250-6d369ec27664">00069367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MWI</TermName>
          <TermId xmlns="http://schemas.microsoft.com/office/infopath/2007/PartnerControls">b63a57e3-63ca-4463-a7bd-d18154366ee0</TermId>
        </TermInfo>
      </Terms>
    </gc6531b704974d528487414686b72f6f>
    <_dlc_DocId xmlns="f1161f5b-24a3-4c2d-bc81-44cb9325e8ee">ATLASPDC-4-28146</_dlc_DocId>
    <_dlc_DocIdUrl xmlns="f1161f5b-24a3-4c2d-bc81-44cb9325e8ee">
      <Url>https://info.undp.org/docs/pdc/_layouts/DocIdRedir.aspx?ID=ATLASPDC-4-28146</Url>
      <Description>ATLASPDC-4-28146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B7F7660-E734-4614-9BC0-86B131B87E52}"/>
</file>

<file path=customXml/itemProps2.xml><?xml version="1.0" encoding="utf-8"?>
<ds:datastoreItem xmlns:ds="http://schemas.openxmlformats.org/officeDocument/2006/customXml" ds:itemID="{2E628E64-744F-4F8D-90A3-84C7EB2D6E9D}"/>
</file>

<file path=customXml/itemProps3.xml><?xml version="1.0" encoding="utf-8"?>
<ds:datastoreItem xmlns:ds="http://schemas.openxmlformats.org/officeDocument/2006/customXml" ds:itemID="{6BF3BDA2-7E92-43F8-8EB9-0ED341016999}"/>
</file>

<file path=customXml/itemProps4.xml><?xml version="1.0" encoding="utf-8"?>
<ds:datastoreItem xmlns:ds="http://schemas.openxmlformats.org/officeDocument/2006/customXml" ds:itemID="{8A08FBF8-28CC-480F-A544-2ADEC5B815AB}"/>
</file>

<file path=customXml/itemProps5.xml><?xml version="1.0" encoding="utf-8"?>
<ds:datastoreItem xmlns:ds="http://schemas.openxmlformats.org/officeDocument/2006/customXml" ds:itemID="{309AC7E9-11BE-4DDB-A0E2-137A6CF09724}"/>
</file>

<file path=customXml/itemProps6.xml><?xml version="1.0" encoding="utf-8"?>
<ds:datastoreItem xmlns:ds="http://schemas.openxmlformats.org/officeDocument/2006/customXml" ds:itemID="{3AA237C9-B66D-4954-ADE7-0AAA3E9274AF}"/>
</file>

<file path=docProps/app.xml><?xml version="1.0" encoding="utf-8"?>
<Properties xmlns="http://schemas.openxmlformats.org/officeDocument/2006/extended-properties" xmlns:vt="http://schemas.openxmlformats.org/officeDocument/2006/docPropsVTypes">
  <Template>Normal</Template>
  <TotalTime>0</TotalTime>
  <Pages>15</Pages>
  <Words>4756</Words>
  <Characters>27115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CPRU</dc:creator>
  <cp:lastModifiedBy>Venge Nkosi</cp:lastModifiedBy>
  <cp:revision>2</cp:revision>
  <cp:lastPrinted>2015-01-30T10:27:00Z</cp:lastPrinted>
  <dcterms:created xsi:type="dcterms:W3CDTF">2015-04-17T10:53:00Z</dcterms:created>
  <dcterms:modified xsi:type="dcterms:W3CDTF">2015-04-17T10:53:00Z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1544;#MWI|b63a57e3-63ca-4463-a7bd-d18154366ee0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25ca5f32-3b91-40ee-894c-f77075807af0</vt:lpwstr>
  </property>
  <property fmtid="{D5CDD505-2E9C-101B-9397-08002B2CF9AE}" pid="18" name="URL">
    <vt:lpwstr/>
  </property>
  <property fmtid="{D5CDD505-2E9C-101B-9397-08002B2CF9AE}" pid="19" name="DocumentSetDescription">
    <vt:lpwstr/>
  </property>
</Properties>
</file>